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FB2FF" w14:textId="64D14F33" w:rsidR="009A0CC3" w:rsidRPr="00AA175A" w:rsidRDefault="00AA175A" w:rsidP="00167CB2">
      <w:pPr>
        <w:pStyle w:val="IDpaper-TitleEnglish"/>
        <w:widowControl/>
        <w:spacing w:after="0"/>
        <w:ind w:left="0"/>
        <w:jc w:val="center"/>
        <w:rPr>
          <w:rFonts w:ascii="Calibri" w:hAnsi="Calibri"/>
          <w:szCs w:val="24"/>
          <w:lang w:val="en-US"/>
        </w:rPr>
      </w:pPr>
      <w:r w:rsidRPr="00AA175A">
        <w:rPr>
          <w:rFonts w:ascii="Calibri" w:hAnsi="Calibri"/>
          <w:b/>
          <w:bCs w:val="0"/>
          <w:i w:val="0"/>
          <w:iCs w:val="0"/>
          <w:sz w:val="28"/>
          <w:szCs w:val="32"/>
          <w:lang w:val="en-US"/>
        </w:rPr>
        <w:t>Small Cities and the Theory of Growth Poles: A New Perspective</w:t>
      </w:r>
    </w:p>
    <w:p w14:paraId="3EE09865" w14:textId="77777777" w:rsidR="00831914" w:rsidRPr="00AA175A" w:rsidRDefault="00831914" w:rsidP="00167CB2">
      <w:pPr>
        <w:pStyle w:val="IDpaper-TitleEnglish"/>
        <w:widowControl/>
        <w:spacing w:after="0"/>
        <w:ind w:left="0"/>
        <w:jc w:val="center"/>
        <w:rPr>
          <w:rFonts w:ascii="Calibri" w:hAnsi="Calibri"/>
          <w:szCs w:val="24"/>
          <w:lang w:val="en-US"/>
        </w:rPr>
      </w:pPr>
    </w:p>
    <w:p w14:paraId="64C11AEE" w14:textId="77777777" w:rsidR="00FF2C7F" w:rsidRPr="00AA175A" w:rsidRDefault="00FF2C7F" w:rsidP="00FF2C7F">
      <w:pPr>
        <w:pStyle w:val="IDpaper-TitleEnglish"/>
        <w:widowControl/>
        <w:spacing w:after="240"/>
        <w:jc w:val="center"/>
        <w:rPr>
          <w:rFonts w:ascii="Calibri" w:hAnsi="Calibri"/>
          <w:sz w:val="22"/>
          <w:szCs w:val="22"/>
          <w:lang w:val="en-US"/>
        </w:rPr>
      </w:pPr>
    </w:p>
    <w:p w14:paraId="0C61683E" w14:textId="7F20A5DC" w:rsidR="00831914" w:rsidRPr="003741A2" w:rsidRDefault="001F63EF" w:rsidP="00831914">
      <w:pPr>
        <w:pStyle w:val="IDpaper-TitleEnglish"/>
        <w:widowControl/>
        <w:spacing w:after="0"/>
        <w:ind w:left="0"/>
        <w:jc w:val="right"/>
        <w:rPr>
          <w:rFonts w:ascii="Calibri" w:hAnsi="Calibri"/>
          <w:b/>
          <w:i w:val="0"/>
          <w:lang w:val="en-US"/>
        </w:rPr>
      </w:pPr>
      <w:r w:rsidRPr="003741A2">
        <w:rPr>
          <w:rFonts w:ascii="Calibri" w:hAnsi="Calibri"/>
          <w:b/>
          <w:i w:val="0"/>
          <w:lang w:val="en-US"/>
        </w:rPr>
        <w:t>Vitória Alves dos Santos</w:t>
      </w:r>
    </w:p>
    <w:p w14:paraId="02A1CF9B" w14:textId="68C4E457" w:rsidR="002F1C78" w:rsidRDefault="00E319F6" w:rsidP="002F1C78">
      <w:pPr>
        <w:pStyle w:val="IDpaper-TitleEnglish"/>
        <w:spacing w:after="0"/>
        <w:jc w:val="right"/>
        <w:rPr>
          <w:rFonts w:ascii="Calibri" w:hAnsi="Calibri"/>
          <w:i w:val="0"/>
          <w:sz w:val="18"/>
          <w:szCs w:val="18"/>
          <w:lang w:val="en-US"/>
        </w:rPr>
      </w:pPr>
      <w:r w:rsidRPr="002F1C78">
        <w:rPr>
          <w:rFonts w:ascii="Calibri" w:hAnsi="Calibri"/>
          <w:i w:val="0"/>
          <w:sz w:val="18"/>
          <w:szCs w:val="18"/>
          <w:lang w:val="en-US"/>
        </w:rPr>
        <w:t xml:space="preserve">Bachelor’s </w:t>
      </w:r>
      <w:r w:rsidR="00F6649F">
        <w:rPr>
          <w:rFonts w:ascii="Calibri" w:hAnsi="Calibri"/>
          <w:i w:val="0"/>
          <w:sz w:val="18"/>
          <w:szCs w:val="18"/>
          <w:lang w:val="en-US"/>
        </w:rPr>
        <w:t>D</w:t>
      </w:r>
      <w:r>
        <w:rPr>
          <w:rFonts w:ascii="Calibri" w:hAnsi="Calibri"/>
          <w:i w:val="0"/>
          <w:sz w:val="18"/>
          <w:szCs w:val="18"/>
          <w:lang w:val="en-US"/>
        </w:rPr>
        <w:t xml:space="preserve">egree in </w:t>
      </w:r>
      <w:r w:rsidR="00F6649F">
        <w:rPr>
          <w:rFonts w:ascii="Calibri" w:hAnsi="Calibri"/>
          <w:i w:val="0"/>
          <w:sz w:val="18"/>
          <w:szCs w:val="18"/>
          <w:lang w:val="en-US"/>
        </w:rPr>
        <w:t>A</w:t>
      </w:r>
      <w:r>
        <w:rPr>
          <w:rFonts w:ascii="Calibri" w:hAnsi="Calibri"/>
          <w:i w:val="0"/>
          <w:sz w:val="18"/>
          <w:szCs w:val="18"/>
          <w:lang w:val="en-US"/>
        </w:rPr>
        <w:t>rchitecture</w:t>
      </w:r>
      <w:r w:rsidR="002F1C78" w:rsidRPr="002F1C78">
        <w:rPr>
          <w:rFonts w:ascii="Calibri" w:hAnsi="Calibri"/>
          <w:i w:val="0"/>
          <w:sz w:val="18"/>
          <w:szCs w:val="18"/>
          <w:lang w:val="en-US"/>
        </w:rPr>
        <w:t xml:space="preserve"> and Urbanism, Federal University of Goiás, Brazil</w:t>
      </w:r>
    </w:p>
    <w:p w14:paraId="6C2CA3D8" w14:textId="77777777" w:rsidR="003741A2" w:rsidRDefault="002F1C78" w:rsidP="002F1C78">
      <w:pPr>
        <w:pStyle w:val="IDpaper-TitleEnglish"/>
        <w:spacing w:after="0"/>
        <w:jc w:val="right"/>
        <w:rPr>
          <w:rFonts w:ascii="Calibri" w:hAnsi="Calibri"/>
          <w:i w:val="0"/>
          <w:sz w:val="18"/>
          <w:szCs w:val="18"/>
          <w:lang w:val="en-US"/>
        </w:rPr>
      </w:pPr>
      <w:r w:rsidRPr="002F1C78">
        <w:rPr>
          <w:rFonts w:ascii="Calibri" w:hAnsi="Calibri"/>
          <w:i w:val="0"/>
          <w:sz w:val="18"/>
          <w:szCs w:val="18"/>
          <w:lang w:val="en-US"/>
        </w:rPr>
        <w:t>Master's student in the Project and City Graduate Program, UFG, Brazil</w:t>
      </w:r>
    </w:p>
    <w:p w14:paraId="489847B8" w14:textId="2EE39735" w:rsidR="001F63EF" w:rsidRPr="00F9496E" w:rsidRDefault="001F63EF" w:rsidP="002F1C78">
      <w:pPr>
        <w:pStyle w:val="IDpaper-TitleEnglish"/>
        <w:spacing w:after="0"/>
        <w:jc w:val="right"/>
        <w:rPr>
          <w:rFonts w:ascii="Calibri" w:hAnsi="Calibri"/>
          <w:i w:val="0"/>
          <w:color w:val="FF0000"/>
          <w:sz w:val="18"/>
          <w:szCs w:val="18"/>
          <w:lang w:val="pt-BR"/>
        </w:rPr>
      </w:pPr>
      <w:r w:rsidRPr="00F9496E">
        <w:rPr>
          <w:rFonts w:ascii="Calibri" w:hAnsi="Calibri"/>
          <w:i w:val="0"/>
          <w:sz w:val="18"/>
          <w:szCs w:val="18"/>
          <w:lang w:val="pt-BR"/>
        </w:rPr>
        <w:t>vitoria.alves@discente.ufg.br</w:t>
      </w:r>
    </w:p>
    <w:p w14:paraId="34610781" w14:textId="77777777" w:rsidR="00831914" w:rsidRPr="00F9496E" w:rsidRDefault="00831914" w:rsidP="00831914">
      <w:pPr>
        <w:pStyle w:val="IDpaper-TitleEnglish"/>
        <w:widowControl/>
        <w:spacing w:after="0"/>
        <w:jc w:val="right"/>
        <w:rPr>
          <w:rFonts w:ascii="Calibri" w:hAnsi="Calibri"/>
          <w:b/>
          <w:i w:val="0"/>
          <w:lang w:val="pt-BR"/>
        </w:rPr>
      </w:pPr>
    </w:p>
    <w:p w14:paraId="0969AEC4" w14:textId="5B7F9879" w:rsidR="00831914" w:rsidRPr="00F9496E" w:rsidRDefault="001F63EF" w:rsidP="00831914">
      <w:pPr>
        <w:pStyle w:val="IDpaper-TitleEnglish"/>
        <w:widowControl/>
        <w:spacing w:after="0"/>
        <w:jc w:val="right"/>
        <w:rPr>
          <w:rFonts w:ascii="Calibri" w:hAnsi="Calibri"/>
          <w:b/>
          <w:i w:val="0"/>
          <w:lang w:val="pt-BR"/>
        </w:rPr>
      </w:pPr>
      <w:r w:rsidRPr="00F9496E">
        <w:rPr>
          <w:rFonts w:ascii="Calibri" w:hAnsi="Calibri"/>
          <w:b/>
          <w:i w:val="0"/>
          <w:lang w:val="pt-BR"/>
        </w:rPr>
        <w:t>Wagner de Souza Rezende</w:t>
      </w:r>
    </w:p>
    <w:p w14:paraId="0CB22D19" w14:textId="77777777" w:rsidR="00715B7C" w:rsidRPr="00715B7C" w:rsidRDefault="00715B7C" w:rsidP="00715B7C">
      <w:pPr>
        <w:pStyle w:val="IDpaper-TitleEnglish"/>
        <w:spacing w:after="0"/>
        <w:jc w:val="right"/>
        <w:rPr>
          <w:rFonts w:ascii="Calibri" w:hAnsi="Calibri"/>
          <w:i w:val="0"/>
          <w:sz w:val="18"/>
          <w:szCs w:val="18"/>
          <w:lang w:val="en-US"/>
        </w:rPr>
      </w:pPr>
      <w:r w:rsidRPr="00715B7C">
        <w:rPr>
          <w:rFonts w:ascii="Calibri" w:hAnsi="Calibri"/>
          <w:i w:val="0"/>
          <w:sz w:val="18"/>
          <w:szCs w:val="18"/>
          <w:lang w:val="en-US"/>
        </w:rPr>
        <w:t>PhD in Architecture and Urbanism, Mackenzie Presbyterian University, Brazil</w:t>
      </w:r>
    </w:p>
    <w:p w14:paraId="332A4500" w14:textId="77777777" w:rsidR="003741A2" w:rsidRDefault="00715B7C" w:rsidP="00715B7C">
      <w:pPr>
        <w:pStyle w:val="IDpaper-TitleEnglish"/>
        <w:widowControl/>
        <w:spacing w:after="0"/>
        <w:jc w:val="right"/>
        <w:rPr>
          <w:rFonts w:ascii="Calibri" w:hAnsi="Calibri"/>
          <w:i w:val="0"/>
          <w:sz w:val="18"/>
          <w:szCs w:val="18"/>
          <w:lang w:val="en-US"/>
        </w:rPr>
      </w:pPr>
      <w:r w:rsidRPr="00715B7C">
        <w:rPr>
          <w:rFonts w:ascii="Calibri" w:hAnsi="Calibri"/>
          <w:i w:val="0"/>
          <w:sz w:val="18"/>
          <w:szCs w:val="18"/>
          <w:lang w:val="en-US"/>
        </w:rPr>
        <w:t>Permanent Professor of the Graduate Program Project and City, UFG, Brazil</w:t>
      </w:r>
    </w:p>
    <w:p w14:paraId="4B241F9B" w14:textId="07967C46" w:rsidR="001F63EF" w:rsidRPr="00715B7C" w:rsidRDefault="001F63EF" w:rsidP="00715B7C">
      <w:pPr>
        <w:pStyle w:val="IDpaper-TitleEnglish"/>
        <w:widowControl/>
        <w:spacing w:after="0"/>
        <w:jc w:val="right"/>
        <w:rPr>
          <w:rFonts w:ascii="Calibri" w:hAnsi="Calibri"/>
          <w:i w:val="0"/>
          <w:color w:val="FF0000"/>
          <w:sz w:val="18"/>
          <w:szCs w:val="18"/>
          <w:lang w:val="en-US"/>
        </w:rPr>
      </w:pPr>
      <w:r w:rsidRPr="00715B7C">
        <w:rPr>
          <w:rFonts w:ascii="Calibri" w:hAnsi="Calibri"/>
          <w:i w:val="0"/>
          <w:sz w:val="18"/>
          <w:szCs w:val="18"/>
          <w:lang w:val="en-US"/>
        </w:rPr>
        <w:t>wagnerrezende@ufg.br</w:t>
      </w:r>
    </w:p>
    <w:p w14:paraId="159CD6A3" w14:textId="77777777" w:rsidR="00831914" w:rsidRPr="00715B7C" w:rsidRDefault="00831914" w:rsidP="001F63EF">
      <w:pPr>
        <w:widowControl w:val="0"/>
        <w:shd w:val="clear" w:color="auto" w:fill="FFFFFF"/>
        <w:tabs>
          <w:tab w:val="left" w:pos="709"/>
          <w:tab w:val="left" w:pos="3119"/>
          <w:tab w:val="left" w:pos="5812"/>
        </w:tabs>
        <w:spacing w:line="276" w:lineRule="auto"/>
        <w:outlineLvl w:val="0"/>
        <w:rPr>
          <w:rFonts w:ascii="Calibri" w:hAnsi="Calibri" w:cs="Calibri"/>
          <w:color w:val="FF0000"/>
          <w:sz w:val="18"/>
          <w:szCs w:val="18"/>
          <w:lang w:val="en-US"/>
        </w:rPr>
      </w:pPr>
      <w:r w:rsidRPr="00715B7C">
        <w:rPr>
          <w:rFonts w:ascii="Calibri" w:hAnsi="Calibri"/>
          <w:sz w:val="16"/>
          <w:szCs w:val="16"/>
          <w:lang w:val="en-US"/>
        </w:rPr>
        <w:br w:type="page"/>
      </w:r>
    </w:p>
    <w:p w14:paraId="1B53831B" w14:textId="3CE2F8D8" w:rsidR="00506622" w:rsidRPr="00715B7C" w:rsidRDefault="00506622" w:rsidP="009E2AAF">
      <w:pPr>
        <w:widowControl w:val="0"/>
        <w:shd w:val="clear" w:color="auto" w:fill="FFFFFF"/>
        <w:tabs>
          <w:tab w:val="left" w:pos="709"/>
          <w:tab w:val="left" w:pos="3119"/>
          <w:tab w:val="left" w:pos="5812"/>
        </w:tabs>
        <w:spacing w:line="276" w:lineRule="auto"/>
        <w:jc w:val="center"/>
        <w:outlineLvl w:val="0"/>
        <w:rPr>
          <w:rFonts w:ascii="Calibri" w:hAnsi="Calibri" w:cs="Calibri"/>
          <w:color w:val="FF0000"/>
          <w:sz w:val="18"/>
          <w:szCs w:val="18"/>
          <w:lang w:val="en-US"/>
        </w:rPr>
      </w:pPr>
    </w:p>
    <w:p w14:paraId="48E0BCE3" w14:textId="1CE484CF" w:rsidR="00506622" w:rsidRPr="008153AB" w:rsidRDefault="008153AB" w:rsidP="009E2AAF">
      <w:pPr>
        <w:autoSpaceDE w:val="0"/>
        <w:autoSpaceDN w:val="0"/>
        <w:adjustRightInd w:val="0"/>
        <w:spacing w:line="276" w:lineRule="auto"/>
        <w:jc w:val="both"/>
        <w:rPr>
          <w:rFonts w:ascii="Calibri" w:hAnsi="Calibri" w:cs="Calibri"/>
          <w:b/>
          <w:sz w:val="18"/>
          <w:szCs w:val="18"/>
          <w:lang w:val="en-US"/>
        </w:rPr>
      </w:pPr>
      <w:r w:rsidRPr="008153AB">
        <w:rPr>
          <w:rFonts w:ascii="Calibri" w:hAnsi="Calibri" w:cs="Calibri"/>
          <w:b/>
          <w:sz w:val="18"/>
          <w:szCs w:val="18"/>
          <w:lang w:val="en-US"/>
        </w:rPr>
        <w:t>ABSTRACT</w:t>
      </w:r>
      <w:r w:rsidR="00622DC2" w:rsidRPr="008153AB">
        <w:rPr>
          <w:rFonts w:ascii="Calibri" w:hAnsi="Calibri" w:cs="Calibri"/>
          <w:b/>
          <w:sz w:val="18"/>
          <w:szCs w:val="18"/>
          <w:lang w:val="en-US"/>
        </w:rPr>
        <w:t xml:space="preserve"> </w:t>
      </w:r>
    </w:p>
    <w:p w14:paraId="5815BC12" w14:textId="5A92CF58" w:rsidR="008153AB" w:rsidRPr="008153AB" w:rsidRDefault="008153AB" w:rsidP="009E2AAF">
      <w:pPr>
        <w:spacing w:line="276" w:lineRule="auto"/>
        <w:jc w:val="both"/>
        <w:rPr>
          <w:rFonts w:ascii="Calibri" w:hAnsi="Calibri" w:cs="Calibri"/>
          <w:sz w:val="18"/>
          <w:szCs w:val="18"/>
          <w:lang w:val="en-US"/>
        </w:rPr>
      </w:pPr>
      <w:r w:rsidRPr="008153AB">
        <w:rPr>
          <w:rFonts w:ascii="Calibri" w:hAnsi="Calibri" w:cs="Calibri"/>
          <w:sz w:val="18"/>
          <w:szCs w:val="18"/>
          <w:lang w:val="en-US"/>
        </w:rPr>
        <w:t>This paper intends to reinterpret the Theory of Growth Poles, or Polarization Theory, formulated by François Perroux in the 1950s, to analyze the urban development of small cities. The theory suggests that the formation of urban centralities occurs heterogeneously at specific points in the territory, whose growth vectors are influenced by the actions of global socio-economic networks in local political arenas. These cities act as force fields that attract and stimulate growth in surrounding regions. This study aims to identify and analyze the effects of growth poles on the urban condition of small cities in the state of Goiás, Brazil, using criteria adapted from Perroux (1981) and reinterpreted for application in the context of cities located in southern Goiás. This is a theoretical work that, through a bibliographical review, presents a critical re-reading of the urban networks formed by city</w:t>
      </w:r>
      <w:r w:rsidR="00DF3609">
        <w:rPr>
          <w:rFonts w:ascii="Calibri" w:hAnsi="Calibri" w:cs="Calibri"/>
          <w:sz w:val="18"/>
          <w:szCs w:val="18"/>
          <w:lang w:val="en-US"/>
        </w:rPr>
        <w:t>-</w:t>
      </w:r>
      <w:r w:rsidRPr="008153AB">
        <w:rPr>
          <w:rFonts w:ascii="Calibri" w:hAnsi="Calibri" w:cs="Calibri"/>
          <w:sz w:val="18"/>
          <w:szCs w:val="18"/>
          <w:lang w:val="en-US"/>
        </w:rPr>
        <w:t xml:space="preserve">regions, which we believe is relevant to the discussion on urban and regional planning in Brazil. The results of mapping the growth poles in the state of Goiás show social, cultural, political, and economic asymmetries in the territorial configurations. They reveal significant heterogeneity, indicating the need to redefine the criteria for their definition. This article aims to contribute to urban studies by identifying new agents influencing the territory, </w:t>
      </w:r>
      <w:r w:rsidR="007E6D70" w:rsidRPr="008153AB">
        <w:rPr>
          <w:rFonts w:ascii="Calibri" w:hAnsi="Calibri" w:cs="Calibri"/>
          <w:sz w:val="18"/>
          <w:szCs w:val="18"/>
          <w:lang w:val="en-US"/>
        </w:rPr>
        <w:t>considering</w:t>
      </w:r>
      <w:r w:rsidRPr="008153AB">
        <w:rPr>
          <w:rFonts w:ascii="Calibri" w:hAnsi="Calibri" w:cs="Calibri"/>
          <w:sz w:val="18"/>
          <w:szCs w:val="18"/>
          <w:lang w:val="en-US"/>
        </w:rPr>
        <w:t xml:space="preserve"> specific social, geographical, and economic contexts. The intention is to contribute to urban studies by listing new main agents influencing the territory, considering their contexts.</w:t>
      </w:r>
    </w:p>
    <w:p w14:paraId="05E73513" w14:textId="4D29541C" w:rsidR="00506622" w:rsidRPr="00014111" w:rsidRDefault="008153AB" w:rsidP="009E2AAF">
      <w:pPr>
        <w:spacing w:line="276" w:lineRule="auto"/>
        <w:jc w:val="both"/>
        <w:rPr>
          <w:rFonts w:ascii="Calibri" w:hAnsi="Calibri" w:cs="Calibri"/>
          <w:sz w:val="18"/>
          <w:szCs w:val="18"/>
          <w:lang w:val="en-US"/>
        </w:rPr>
      </w:pPr>
      <w:r w:rsidRPr="00DF3609">
        <w:rPr>
          <w:rFonts w:ascii="Calibri" w:hAnsi="Calibri" w:cs="Calibri"/>
          <w:b/>
          <w:bCs/>
          <w:sz w:val="18"/>
          <w:szCs w:val="18"/>
          <w:lang w:val="en-US"/>
        </w:rPr>
        <w:t>KEYWORDS</w:t>
      </w:r>
      <w:r w:rsidR="00506622" w:rsidRPr="00DF3609">
        <w:rPr>
          <w:rFonts w:ascii="Calibri" w:hAnsi="Calibri" w:cs="Calibri"/>
          <w:bCs/>
          <w:sz w:val="18"/>
          <w:szCs w:val="18"/>
          <w:lang w:val="en-US"/>
        </w:rPr>
        <w:t>:</w:t>
      </w:r>
      <w:r w:rsidR="00506622" w:rsidRPr="00DF3609">
        <w:rPr>
          <w:rFonts w:ascii="Calibri" w:hAnsi="Calibri" w:cs="Calibri"/>
          <w:b/>
          <w:sz w:val="18"/>
          <w:szCs w:val="18"/>
          <w:lang w:val="en-US"/>
        </w:rPr>
        <w:t xml:space="preserve"> </w:t>
      </w:r>
      <w:r w:rsidR="00DF3609" w:rsidRPr="00DF3609">
        <w:rPr>
          <w:rFonts w:ascii="Calibri" w:hAnsi="Calibri" w:cs="Calibri"/>
          <w:bCs/>
          <w:sz w:val="18"/>
          <w:szCs w:val="18"/>
          <w:lang w:val="en-US"/>
        </w:rPr>
        <w:t>City</w:t>
      </w:r>
      <w:r w:rsidR="00DF3609">
        <w:rPr>
          <w:rFonts w:ascii="Calibri" w:hAnsi="Calibri" w:cs="Calibri"/>
          <w:bCs/>
          <w:sz w:val="18"/>
          <w:szCs w:val="18"/>
          <w:lang w:val="en-US"/>
        </w:rPr>
        <w:t>-</w:t>
      </w:r>
      <w:r w:rsidR="00DF3609" w:rsidRPr="00DF3609">
        <w:rPr>
          <w:rFonts w:ascii="Calibri" w:hAnsi="Calibri" w:cs="Calibri"/>
          <w:bCs/>
          <w:sz w:val="18"/>
          <w:szCs w:val="18"/>
          <w:lang w:val="en-US"/>
        </w:rPr>
        <w:t xml:space="preserve">region. Urban Networks. </w:t>
      </w:r>
      <w:r w:rsidR="00DF3609" w:rsidRPr="00014111">
        <w:rPr>
          <w:rFonts w:ascii="Calibri" w:hAnsi="Calibri" w:cs="Calibri"/>
          <w:bCs/>
          <w:sz w:val="18"/>
          <w:szCs w:val="18"/>
          <w:lang w:val="en-US"/>
        </w:rPr>
        <w:t>Growth Poles</w:t>
      </w:r>
      <w:r w:rsidR="001F63EF" w:rsidRPr="00014111">
        <w:rPr>
          <w:rFonts w:ascii="Calibri" w:hAnsi="Calibri" w:cs="Calibri"/>
          <w:bCs/>
          <w:sz w:val="18"/>
          <w:szCs w:val="18"/>
          <w:lang w:val="en-US"/>
        </w:rPr>
        <w:t>.</w:t>
      </w:r>
      <w:r w:rsidR="00C37835" w:rsidRPr="00014111">
        <w:rPr>
          <w:rFonts w:ascii="Calibri" w:hAnsi="Calibri" w:cs="Calibri"/>
          <w:bCs/>
          <w:sz w:val="18"/>
          <w:szCs w:val="18"/>
          <w:lang w:val="en-US"/>
        </w:rPr>
        <w:t xml:space="preserve"> </w:t>
      </w:r>
    </w:p>
    <w:p w14:paraId="41C5C008" w14:textId="77777777" w:rsidR="003800A6" w:rsidRPr="00014111" w:rsidRDefault="003800A6" w:rsidP="009E2AAF">
      <w:pPr>
        <w:pStyle w:val="IDpaper-Title"/>
        <w:widowControl/>
        <w:spacing w:line="276" w:lineRule="auto"/>
        <w:ind w:left="0"/>
        <w:rPr>
          <w:rFonts w:ascii="Calibri" w:hAnsi="Calibri" w:cs="Calibri"/>
          <w:b w:val="0"/>
          <w:bCs/>
          <w:sz w:val="22"/>
          <w:lang w:val="en-US"/>
        </w:rPr>
      </w:pPr>
    </w:p>
    <w:p w14:paraId="7E4F4A8F" w14:textId="2E76CD25" w:rsidR="00D20F95" w:rsidRPr="00014111" w:rsidRDefault="00DD5885" w:rsidP="00D10BBF">
      <w:pPr>
        <w:pStyle w:val="IDpaper-Title"/>
        <w:widowControl/>
        <w:spacing w:line="276" w:lineRule="auto"/>
        <w:ind w:left="0"/>
        <w:rPr>
          <w:rFonts w:asciiTheme="minorHAnsi" w:hAnsiTheme="minorHAnsi" w:cstheme="minorHAnsi"/>
          <w:bCs/>
          <w:sz w:val="22"/>
          <w:szCs w:val="22"/>
          <w:lang w:val="en-US"/>
        </w:rPr>
      </w:pPr>
      <w:r w:rsidRPr="00014111">
        <w:rPr>
          <w:rFonts w:ascii="Calibri" w:hAnsi="Calibri" w:cs="Calibri"/>
          <w:bCs/>
          <w:sz w:val="22"/>
          <w:lang w:val="en-US"/>
        </w:rPr>
        <w:t xml:space="preserve">1 </w:t>
      </w:r>
      <w:r w:rsidR="00014111" w:rsidRPr="00014111">
        <w:rPr>
          <w:rFonts w:asciiTheme="minorHAnsi" w:hAnsiTheme="minorHAnsi" w:cstheme="minorHAnsi"/>
          <w:bCs/>
          <w:sz w:val="22"/>
          <w:szCs w:val="22"/>
          <w:lang w:val="en-US"/>
        </w:rPr>
        <w:t>INTRODUCTION: FROM THE THEORY OF GROWTH POLES TO CITY-REGIONS</w:t>
      </w:r>
    </w:p>
    <w:p w14:paraId="7A82635C" w14:textId="77777777" w:rsidR="00D10BBF" w:rsidRPr="00014111" w:rsidRDefault="00D10BBF" w:rsidP="00D10BBF">
      <w:pPr>
        <w:pStyle w:val="IDpaper-Title"/>
        <w:widowControl/>
        <w:spacing w:line="276" w:lineRule="auto"/>
        <w:ind w:left="0"/>
        <w:rPr>
          <w:rFonts w:ascii="Calibri" w:hAnsi="Calibri" w:cs="Calibri"/>
          <w:kern w:val="0"/>
          <w:sz w:val="22"/>
          <w:szCs w:val="24"/>
          <w:lang w:val="en-US" w:eastAsia="pt-BR"/>
        </w:rPr>
      </w:pPr>
    </w:p>
    <w:p w14:paraId="73C03613" w14:textId="2FC25339" w:rsidR="00FB2360" w:rsidRPr="00FB2360" w:rsidRDefault="00FB2360" w:rsidP="00A17E3D">
      <w:pPr>
        <w:spacing w:line="276" w:lineRule="auto"/>
        <w:ind w:firstLine="708"/>
        <w:jc w:val="both"/>
        <w:rPr>
          <w:rFonts w:asciiTheme="minorHAnsi" w:hAnsiTheme="minorHAnsi" w:cstheme="minorHAnsi"/>
          <w:sz w:val="22"/>
          <w:szCs w:val="22"/>
          <w:lang w:val="en-US"/>
        </w:rPr>
      </w:pPr>
      <w:r w:rsidRPr="00FB2360">
        <w:rPr>
          <w:rFonts w:asciiTheme="minorHAnsi" w:hAnsiTheme="minorHAnsi" w:cstheme="minorHAnsi"/>
          <w:sz w:val="22"/>
          <w:szCs w:val="22"/>
          <w:lang w:val="en-US"/>
        </w:rPr>
        <w:t xml:space="preserve">The cities, on a regional geographical scale, operate within a reticular and territorial system of political and economic influences, made up of groups of small cities associated with medium-sized (mediating) cities or regional metropolises which, according to Perroux (1961), function as polarizing centers, geographical units that exert an influence on local development </w:t>
      </w:r>
      <w:r w:rsidR="003741A2" w:rsidRPr="00FB2360">
        <w:rPr>
          <w:rFonts w:asciiTheme="minorHAnsi" w:hAnsiTheme="minorHAnsi" w:cstheme="minorHAnsi"/>
          <w:sz w:val="22"/>
          <w:szCs w:val="22"/>
          <w:lang w:val="en-US"/>
        </w:rPr>
        <w:t>in each</w:t>
      </w:r>
      <w:r w:rsidRPr="00FB2360">
        <w:rPr>
          <w:rFonts w:asciiTheme="minorHAnsi" w:hAnsiTheme="minorHAnsi" w:cstheme="minorHAnsi"/>
          <w:sz w:val="22"/>
          <w:szCs w:val="22"/>
          <w:lang w:val="en-US"/>
        </w:rPr>
        <w:t xml:space="preserve"> region, with effects on its urban configuration. In this sense, we will describe, identify, and discuss the concepts of “city-region” and “small cities”, in the light of the Theory of Growth Poles, in the context of the cities of Goiás. </w:t>
      </w:r>
    </w:p>
    <w:p w14:paraId="2FE76712" w14:textId="6A7780DE" w:rsidR="00FB2360" w:rsidRPr="00FB2360" w:rsidRDefault="00FB2360" w:rsidP="00A17E3D">
      <w:pPr>
        <w:spacing w:line="276" w:lineRule="auto"/>
        <w:ind w:firstLine="708"/>
        <w:jc w:val="both"/>
        <w:rPr>
          <w:rFonts w:asciiTheme="minorHAnsi" w:hAnsiTheme="minorHAnsi" w:cstheme="minorHAnsi"/>
          <w:sz w:val="22"/>
          <w:szCs w:val="22"/>
          <w:lang w:val="en-US"/>
        </w:rPr>
      </w:pPr>
      <w:r w:rsidRPr="00FB2360">
        <w:rPr>
          <w:rFonts w:asciiTheme="minorHAnsi" w:hAnsiTheme="minorHAnsi" w:cstheme="minorHAnsi"/>
          <w:sz w:val="22"/>
          <w:szCs w:val="22"/>
          <w:lang w:val="en-US"/>
        </w:rPr>
        <w:t>The Theory of Growth Poles, developed by French economist François Perroux in the 1950s, shows that growth occurs at specific, non-simultaneous points in the territory, which develop through the action of a main agent, which generates direct influences on the surrounding space. This configuration acts as a force field that attracts surrounding regions, further contributing to the growth of the hub. The main agent, as the author calls it, although referred to in his work as a “key industry”, can have numerous personifications. Originally developed in 1955, the theory of growth poles was historically inserted in a process of seeking modernization, with the favoring of the industry as a symbol of progress. Thus, Perroux (1981) uses the term key industry as the only main agent polarizing the territory. Nowadays, it is possible to see that polarization is not only constituted by industrial action, since people move for various other reasons to neighboring cities, in a commuter movement, or just casually.</w:t>
      </w:r>
    </w:p>
    <w:p w14:paraId="066FB960" w14:textId="1B72013C" w:rsidR="00C62AFA" w:rsidRPr="00FB2360" w:rsidRDefault="00FB2360" w:rsidP="00A17E3D">
      <w:pPr>
        <w:spacing w:line="276" w:lineRule="auto"/>
        <w:ind w:firstLine="708"/>
        <w:jc w:val="both"/>
        <w:rPr>
          <w:rFonts w:asciiTheme="minorHAnsi" w:hAnsiTheme="minorHAnsi" w:cstheme="minorHAnsi"/>
          <w:sz w:val="22"/>
          <w:szCs w:val="22"/>
          <w:lang w:val="en-US"/>
        </w:rPr>
      </w:pPr>
      <w:r w:rsidRPr="00FB2360">
        <w:rPr>
          <w:rFonts w:asciiTheme="minorHAnsi" w:hAnsiTheme="minorHAnsi" w:cstheme="minorHAnsi"/>
          <w:sz w:val="22"/>
          <w:szCs w:val="22"/>
          <w:lang w:val="en-US"/>
        </w:rPr>
        <w:t xml:space="preserve">Richardson (1975) questions whether the growth pole is, in fact, a concrete spatial entity, observable by regional economic structures or, on the contrary, refers to a complex socio-spatial formation, an urban centrality, in which growth would be the result of a broader socio-political process, generating incentives for economic development on a local scale. Similarly, </w:t>
      </w:r>
      <w:proofErr w:type="spellStart"/>
      <w:r w:rsidRPr="00FB2360">
        <w:rPr>
          <w:rFonts w:asciiTheme="minorHAnsi" w:hAnsiTheme="minorHAnsi" w:cstheme="minorHAnsi"/>
          <w:sz w:val="22"/>
          <w:szCs w:val="22"/>
          <w:lang w:val="en-US"/>
        </w:rPr>
        <w:t>Lasuén</w:t>
      </w:r>
      <w:proofErr w:type="spellEnd"/>
      <w:r w:rsidRPr="00FB2360">
        <w:rPr>
          <w:rFonts w:asciiTheme="minorHAnsi" w:hAnsiTheme="minorHAnsi" w:cstheme="minorHAnsi"/>
          <w:sz w:val="22"/>
          <w:szCs w:val="22"/>
          <w:lang w:val="en-US"/>
        </w:rPr>
        <w:t xml:space="preserve"> (1976) states that the theory of growth poles describes the functioning of a verifiable socio-spatial </w:t>
      </w:r>
      <w:r w:rsidR="00A17E3D" w:rsidRPr="00FB2360">
        <w:rPr>
          <w:rFonts w:asciiTheme="minorHAnsi" w:hAnsiTheme="minorHAnsi" w:cstheme="minorHAnsi"/>
          <w:sz w:val="22"/>
          <w:szCs w:val="22"/>
          <w:lang w:val="en-US"/>
        </w:rPr>
        <w:t>dynamic but</w:t>
      </w:r>
      <w:r w:rsidRPr="00FB2360">
        <w:rPr>
          <w:rFonts w:asciiTheme="minorHAnsi" w:hAnsiTheme="minorHAnsi" w:cstheme="minorHAnsi"/>
          <w:sz w:val="22"/>
          <w:szCs w:val="22"/>
          <w:lang w:val="en-US"/>
        </w:rPr>
        <w:t xml:space="preserve"> does not explain the necessary preconditions for the emergence of polarized centers or their effects on the city-region and interdependent territories. Both criticisms reveal an operational inconsistency in explaining regional economic development </w:t>
      </w:r>
      <w:r w:rsidRPr="00FB2360">
        <w:rPr>
          <w:rFonts w:asciiTheme="minorHAnsi" w:hAnsiTheme="minorHAnsi" w:cstheme="minorHAnsi"/>
          <w:sz w:val="22"/>
          <w:szCs w:val="22"/>
          <w:lang w:val="en-US"/>
        </w:rPr>
        <w:lastRenderedPageBreak/>
        <w:t>since it focuses more on observable results than on the causes and processes of the formation of growth poles. Thus, the theory of growth poles is considered limited and gives rise to the understanding that both cases listed by Richardson (1975) could be constituted in political and economic polarization, if they function as a system of local and regional flows in the context of the hierarchical influence of the city-region over small towns.</w:t>
      </w:r>
    </w:p>
    <w:p w14:paraId="728F683C" w14:textId="77777777" w:rsidR="00A17E3D" w:rsidRPr="00A17E3D" w:rsidRDefault="00A17E3D" w:rsidP="00A17E3D">
      <w:pPr>
        <w:pStyle w:val="IDpaper-Text"/>
        <w:spacing w:after="0" w:line="276" w:lineRule="auto"/>
        <w:ind w:firstLine="851"/>
        <w:jc w:val="both"/>
        <w:rPr>
          <w:rFonts w:asciiTheme="minorHAnsi" w:hAnsiTheme="minorHAnsi" w:cstheme="minorHAnsi"/>
          <w:kern w:val="0"/>
          <w:sz w:val="22"/>
          <w:szCs w:val="22"/>
          <w:lang w:val="en-US" w:eastAsia="pt-BR"/>
        </w:rPr>
      </w:pPr>
      <w:r w:rsidRPr="00A17E3D">
        <w:rPr>
          <w:rFonts w:asciiTheme="minorHAnsi" w:hAnsiTheme="minorHAnsi" w:cstheme="minorHAnsi"/>
          <w:kern w:val="0"/>
          <w:sz w:val="22"/>
          <w:szCs w:val="22"/>
          <w:lang w:val="en-US" w:eastAsia="pt-BR"/>
        </w:rPr>
        <w:t xml:space="preserve">Considering the role of growth poles in the formation and transformation of urban and geographical territory between cities, we tried to list the growth poles in Goiás today. The large composition of small towns and their effects on territorialization processes, as described by </w:t>
      </w:r>
      <w:proofErr w:type="spellStart"/>
      <w:r w:rsidRPr="00A17E3D">
        <w:rPr>
          <w:rFonts w:asciiTheme="minorHAnsi" w:hAnsiTheme="minorHAnsi" w:cstheme="minorHAnsi"/>
          <w:kern w:val="0"/>
          <w:sz w:val="22"/>
          <w:szCs w:val="22"/>
          <w:lang w:val="en-US" w:eastAsia="pt-BR"/>
        </w:rPr>
        <w:t>Haesbaert</w:t>
      </w:r>
      <w:proofErr w:type="spellEnd"/>
      <w:r w:rsidRPr="00A17E3D">
        <w:rPr>
          <w:rFonts w:asciiTheme="minorHAnsi" w:hAnsiTheme="minorHAnsi" w:cstheme="minorHAnsi"/>
          <w:kern w:val="0"/>
          <w:sz w:val="22"/>
          <w:szCs w:val="22"/>
          <w:lang w:val="en-US" w:eastAsia="pt-BR"/>
        </w:rPr>
        <w:t xml:space="preserve"> (2002), demonstrate the extent to which polarization strategies allow us to think about urban development in small towns. The criteria used to select the growth poles were not the same as those argued by Perroux (1981), who defended the existence of a “key industry” to polarize a given region, but rather the main agents defined for this research, following a (re)interpretation of the theory of polarization through urban studies, namely: service agents; or cultural, tourism and leisure agents.</w:t>
      </w:r>
    </w:p>
    <w:p w14:paraId="029EC361" w14:textId="77777777" w:rsidR="00A17E3D" w:rsidRPr="00A17E3D" w:rsidRDefault="00A17E3D" w:rsidP="00A17E3D">
      <w:pPr>
        <w:pStyle w:val="IDpaper-Text"/>
        <w:spacing w:after="0" w:line="276" w:lineRule="auto"/>
        <w:ind w:firstLine="851"/>
        <w:jc w:val="both"/>
        <w:rPr>
          <w:rFonts w:asciiTheme="minorHAnsi" w:hAnsiTheme="minorHAnsi" w:cstheme="minorHAnsi"/>
          <w:kern w:val="0"/>
          <w:sz w:val="22"/>
          <w:szCs w:val="22"/>
          <w:lang w:val="en-US" w:eastAsia="pt-BR"/>
        </w:rPr>
      </w:pPr>
      <w:r w:rsidRPr="00A17E3D">
        <w:rPr>
          <w:rFonts w:asciiTheme="minorHAnsi" w:hAnsiTheme="minorHAnsi" w:cstheme="minorHAnsi"/>
          <w:kern w:val="0"/>
          <w:sz w:val="22"/>
          <w:szCs w:val="22"/>
          <w:lang w:val="en-US" w:eastAsia="pt-BR"/>
        </w:rPr>
        <w:t>Based on our (re)interpretations of Perroux's work (1981), we can divide the “main agents of polarization” into two categories: a) those related to specialized political agents, such as universities, hospitals, shopping malls and international cuisine restaurants, or any specialized services that are not easily found outside metropolitan regions; b) economic agents related to cultural, tourism and leisure practices, such as traditional popular festivals (</w:t>
      </w:r>
      <w:proofErr w:type="spellStart"/>
      <w:r w:rsidRPr="00A17E3D">
        <w:rPr>
          <w:rFonts w:asciiTheme="minorHAnsi" w:hAnsiTheme="minorHAnsi" w:cstheme="minorHAnsi"/>
          <w:kern w:val="0"/>
          <w:sz w:val="22"/>
          <w:szCs w:val="22"/>
          <w:lang w:val="en-US" w:eastAsia="pt-BR"/>
        </w:rPr>
        <w:t>Fogaréu</w:t>
      </w:r>
      <w:proofErr w:type="spellEnd"/>
      <w:r w:rsidRPr="00A17E3D">
        <w:rPr>
          <w:rFonts w:asciiTheme="minorHAnsi" w:hAnsiTheme="minorHAnsi" w:cstheme="minorHAnsi"/>
          <w:kern w:val="0"/>
          <w:sz w:val="22"/>
          <w:szCs w:val="22"/>
          <w:lang w:val="en-US" w:eastAsia="pt-BR"/>
        </w:rPr>
        <w:t xml:space="preserve"> Procession in Goiás/GO; </w:t>
      </w:r>
      <w:proofErr w:type="spellStart"/>
      <w:r w:rsidRPr="00A17E3D">
        <w:rPr>
          <w:rFonts w:asciiTheme="minorHAnsi" w:hAnsiTheme="minorHAnsi" w:cstheme="minorHAnsi"/>
          <w:kern w:val="0"/>
          <w:sz w:val="22"/>
          <w:szCs w:val="22"/>
          <w:lang w:val="en-US" w:eastAsia="pt-BR"/>
        </w:rPr>
        <w:t>Congada</w:t>
      </w:r>
      <w:proofErr w:type="spellEnd"/>
      <w:r w:rsidRPr="00A17E3D">
        <w:rPr>
          <w:rFonts w:asciiTheme="minorHAnsi" w:hAnsiTheme="minorHAnsi" w:cstheme="minorHAnsi"/>
          <w:kern w:val="0"/>
          <w:sz w:val="22"/>
          <w:szCs w:val="22"/>
          <w:lang w:val="en-US" w:eastAsia="pt-BR"/>
        </w:rPr>
        <w:t xml:space="preserve"> Festival in </w:t>
      </w:r>
      <w:proofErr w:type="spellStart"/>
      <w:r w:rsidRPr="00A17E3D">
        <w:rPr>
          <w:rFonts w:asciiTheme="minorHAnsi" w:hAnsiTheme="minorHAnsi" w:cstheme="minorHAnsi"/>
          <w:kern w:val="0"/>
          <w:sz w:val="22"/>
          <w:szCs w:val="22"/>
          <w:lang w:val="en-US" w:eastAsia="pt-BR"/>
        </w:rPr>
        <w:t>Catalão</w:t>
      </w:r>
      <w:proofErr w:type="spellEnd"/>
      <w:r w:rsidRPr="00A17E3D">
        <w:rPr>
          <w:rFonts w:asciiTheme="minorHAnsi" w:hAnsiTheme="minorHAnsi" w:cstheme="minorHAnsi"/>
          <w:kern w:val="0"/>
          <w:sz w:val="22"/>
          <w:szCs w:val="22"/>
          <w:lang w:val="en-US" w:eastAsia="pt-BR"/>
        </w:rPr>
        <w:t xml:space="preserve">/GO; and </w:t>
      </w:r>
      <w:proofErr w:type="spellStart"/>
      <w:r w:rsidRPr="00A17E3D">
        <w:rPr>
          <w:rFonts w:asciiTheme="minorHAnsi" w:hAnsiTheme="minorHAnsi" w:cstheme="minorHAnsi"/>
          <w:kern w:val="0"/>
          <w:sz w:val="22"/>
          <w:szCs w:val="22"/>
          <w:lang w:val="en-US" w:eastAsia="pt-BR"/>
        </w:rPr>
        <w:t>Cavalhadas</w:t>
      </w:r>
      <w:proofErr w:type="spellEnd"/>
      <w:r w:rsidRPr="00A17E3D">
        <w:rPr>
          <w:rFonts w:asciiTheme="minorHAnsi" w:hAnsiTheme="minorHAnsi" w:cstheme="minorHAnsi"/>
          <w:kern w:val="0"/>
          <w:sz w:val="22"/>
          <w:szCs w:val="22"/>
          <w:lang w:val="en-US" w:eastAsia="pt-BR"/>
        </w:rPr>
        <w:t xml:space="preserve"> in </w:t>
      </w:r>
      <w:proofErr w:type="spellStart"/>
      <w:r w:rsidRPr="00A17E3D">
        <w:rPr>
          <w:rFonts w:asciiTheme="minorHAnsi" w:hAnsiTheme="minorHAnsi" w:cstheme="minorHAnsi"/>
          <w:kern w:val="0"/>
          <w:sz w:val="22"/>
          <w:szCs w:val="22"/>
          <w:lang w:val="en-US" w:eastAsia="pt-BR"/>
        </w:rPr>
        <w:t>Pirenópolis</w:t>
      </w:r>
      <w:proofErr w:type="spellEnd"/>
      <w:r w:rsidRPr="00A17E3D">
        <w:rPr>
          <w:rFonts w:asciiTheme="minorHAnsi" w:hAnsiTheme="minorHAnsi" w:cstheme="minorHAnsi"/>
          <w:kern w:val="0"/>
          <w:sz w:val="22"/>
          <w:szCs w:val="22"/>
          <w:lang w:val="en-US" w:eastAsia="pt-BR"/>
        </w:rPr>
        <w:t>/GO), cultural tourism (</w:t>
      </w:r>
      <w:proofErr w:type="spellStart"/>
      <w:r w:rsidRPr="00A17E3D">
        <w:rPr>
          <w:rFonts w:asciiTheme="minorHAnsi" w:hAnsiTheme="minorHAnsi" w:cstheme="minorHAnsi"/>
          <w:kern w:val="0"/>
          <w:sz w:val="22"/>
          <w:szCs w:val="22"/>
          <w:lang w:val="en-US" w:eastAsia="pt-BR"/>
        </w:rPr>
        <w:t>Pirenópolis</w:t>
      </w:r>
      <w:proofErr w:type="spellEnd"/>
      <w:r w:rsidRPr="00A17E3D">
        <w:rPr>
          <w:rFonts w:asciiTheme="minorHAnsi" w:hAnsiTheme="minorHAnsi" w:cstheme="minorHAnsi"/>
          <w:kern w:val="0"/>
          <w:sz w:val="22"/>
          <w:szCs w:val="22"/>
          <w:lang w:val="en-US" w:eastAsia="pt-BR"/>
        </w:rPr>
        <w:t xml:space="preserve">/GO, Goiás/GO, Caldas Novas/GO), ecotourism areas such as Chapada dos </w:t>
      </w:r>
      <w:proofErr w:type="spellStart"/>
      <w:r w:rsidRPr="00A17E3D">
        <w:rPr>
          <w:rFonts w:asciiTheme="minorHAnsi" w:hAnsiTheme="minorHAnsi" w:cstheme="minorHAnsi"/>
          <w:kern w:val="0"/>
          <w:sz w:val="22"/>
          <w:szCs w:val="22"/>
          <w:lang w:val="en-US" w:eastAsia="pt-BR"/>
        </w:rPr>
        <w:t>Veadeiros</w:t>
      </w:r>
      <w:proofErr w:type="spellEnd"/>
      <w:r w:rsidRPr="00A17E3D">
        <w:rPr>
          <w:rFonts w:asciiTheme="minorHAnsi" w:hAnsiTheme="minorHAnsi" w:cstheme="minorHAnsi"/>
          <w:kern w:val="0"/>
          <w:sz w:val="22"/>
          <w:szCs w:val="22"/>
          <w:lang w:val="en-US" w:eastAsia="pt-BR"/>
        </w:rPr>
        <w:t xml:space="preserve"> and </w:t>
      </w:r>
      <w:proofErr w:type="spellStart"/>
      <w:r w:rsidRPr="00A17E3D">
        <w:rPr>
          <w:rFonts w:asciiTheme="minorHAnsi" w:hAnsiTheme="minorHAnsi" w:cstheme="minorHAnsi"/>
          <w:kern w:val="0"/>
          <w:sz w:val="22"/>
          <w:szCs w:val="22"/>
          <w:lang w:val="en-US" w:eastAsia="pt-BR"/>
        </w:rPr>
        <w:t>Emas</w:t>
      </w:r>
      <w:proofErr w:type="spellEnd"/>
      <w:r w:rsidRPr="00A17E3D">
        <w:rPr>
          <w:rFonts w:asciiTheme="minorHAnsi" w:hAnsiTheme="minorHAnsi" w:cstheme="minorHAnsi"/>
          <w:kern w:val="0"/>
          <w:sz w:val="22"/>
          <w:szCs w:val="22"/>
          <w:lang w:val="en-US" w:eastAsia="pt-BR"/>
        </w:rPr>
        <w:t xml:space="preserve"> National Park, and fishing tourism in </w:t>
      </w:r>
      <w:proofErr w:type="spellStart"/>
      <w:r w:rsidRPr="00A17E3D">
        <w:rPr>
          <w:rFonts w:asciiTheme="minorHAnsi" w:hAnsiTheme="minorHAnsi" w:cstheme="minorHAnsi"/>
          <w:kern w:val="0"/>
          <w:sz w:val="22"/>
          <w:szCs w:val="22"/>
          <w:lang w:val="en-US" w:eastAsia="pt-BR"/>
        </w:rPr>
        <w:t>Aruanã</w:t>
      </w:r>
      <w:proofErr w:type="spellEnd"/>
      <w:r w:rsidRPr="00A17E3D">
        <w:rPr>
          <w:rFonts w:asciiTheme="minorHAnsi" w:hAnsiTheme="minorHAnsi" w:cstheme="minorHAnsi"/>
          <w:kern w:val="0"/>
          <w:sz w:val="22"/>
          <w:szCs w:val="22"/>
          <w:lang w:val="en-US" w:eastAsia="pt-BR"/>
        </w:rPr>
        <w:t>/GO. These are just a few examples of the main agents that produce notable changes in the territory, polarizing the flow of people in these spaces.</w:t>
      </w:r>
    </w:p>
    <w:p w14:paraId="7D19AD5D" w14:textId="1FBA2433" w:rsidR="00DD5885" w:rsidRPr="00A17E3D" w:rsidRDefault="00A17E3D" w:rsidP="00A17E3D">
      <w:pPr>
        <w:pStyle w:val="IDpaper-Text"/>
        <w:widowControl/>
        <w:spacing w:after="0" w:line="276" w:lineRule="auto"/>
        <w:ind w:firstLine="851"/>
        <w:jc w:val="both"/>
        <w:rPr>
          <w:rFonts w:asciiTheme="minorHAnsi" w:hAnsiTheme="minorHAnsi" w:cstheme="minorHAnsi"/>
          <w:kern w:val="0"/>
          <w:sz w:val="22"/>
          <w:szCs w:val="22"/>
          <w:lang w:val="en-US" w:eastAsia="pt-BR"/>
        </w:rPr>
      </w:pPr>
      <w:r w:rsidRPr="00A17E3D">
        <w:rPr>
          <w:rFonts w:asciiTheme="minorHAnsi" w:hAnsiTheme="minorHAnsi" w:cstheme="minorHAnsi"/>
          <w:kern w:val="0"/>
          <w:sz w:val="22"/>
          <w:szCs w:val="22"/>
          <w:lang w:val="en-US" w:eastAsia="pt-BR"/>
        </w:rPr>
        <w:t xml:space="preserve">In order to formulate a conceptual framework for reinterpreting the influences of Perroux's (1981) theory of poles of development, this paper describes the results of a theoretical study in which the concepts of “city-region”, “small city”, “uneven development”, “centrality” and “polarization” are reviewed and reinterpreted, based on a critical interpretation of the fundamental texts and a comparison with contemporary critical readings. This can contribute to the debate about the local and the regional in the practice of urban planning. The methods used to undertake this reinterpretation were: a) a bibliographical review, in which we reviewed key texts of theoretical foundation and more recent critical analyses; b) documentary research of statistical data, maps, satellite images, and economic reports on </w:t>
      </w:r>
      <w:proofErr w:type="spellStart"/>
      <w:r w:rsidRPr="00A17E3D">
        <w:rPr>
          <w:rFonts w:asciiTheme="minorHAnsi" w:hAnsiTheme="minorHAnsi" w:cstheme="minorHAnsi"/>
          <w:kern w:val="0"/>
          <w:sz w:val="22"/>
          <w:szCs w:val="22"/>
          <w:lang w:val="en-US" w:eastAsia="pt-BR"/>
        </w:rPr>
        <w:t>Catalão</w:t>
      </w:r>
      <w:proofErr w:type="spellEnd"/>
      <w:r w:rsidRPr="00A17E3D">
        <w:rPr>
          <w:rFonts w:asciiTheme="minorHAnsi" w:hAnsiTheme="minorHAnsi" w:cstheme="minorHAnsi"/>
          <w:kern w:val="0"/>
          <w:sz w:val="22"/>
          <w:szCs w:val="22"/>
          <w:lang w:val="en-US" w:eastAsia="pt-BR"/>
        </w:rPr>
        <w:t xml:space="preserve">, Caldas Novas and </w:t>
      </w:r>
      <w:proofErr w:type="spellStart"/>
      <w:r w:rsidRPr="00A17E3D">
        <w:rPr>
          <w:rFonts w:asciiTheme="minorHAnsi" w:hAnsiTheme="minorHAnsi" w:cstheme="minorHAnsi"/>
          <w:kern w:val="0"/>
          <w:sz w:val="22"/>
          <w:szCs w:val="22"/>
          <w:lang w:val="en-US" w:eastAsia="pt-BR"/>
        </w:rPr>
        <w:t>Itumbiara</w:t>
      </w:r>
      <w:proofErr w:type="spellEnd"/>
      <w:r w:rsidRPr="00A17E3D">
        <w:rPr>
          <w:rFonts w:asciiTheme="minorHAnsi" w:hAnsiTheme="minorHAnsi" w:cstheme="minorHAnsi"/>
          <w:kern w:val="0"/>
          <w:sz w:val="22"/>
          <w:szCs w:val="22"/>
          <w:lang w:val="en-US" w:eastAsia="pt-BR"/>
        </w:rPr>
        <w:t>, all located in the southern region of Goiás; and c) analysis of the effects of the political and economic processes of regional formation and the hierarchical economic influence of the cities-region, especially in the processes of urban expansion and the formation of local and regional development networks.</w:t>
      </w:r>
    </w:p>
    <w:p w14:paraId="2E24B708" w14:textId="77777777" w:rsidR="00A17E3D" w:rsidRPr="00A17E3D" w:rsidRDefault="00A17E3D" w:rsidP="00A17E3D">
      <w:pPr>
        <w:pStyle w:val="IDpaper-Text"/>
        <w:widowControl/>
        <w:spacing w:after="0" w:line="276" w:lineRule="auto"/>
        <w:ind w:firstLine="851"/>
        <w:jc w:val="both"/>
        <w:rPr>
          <w:rFonts w:ascii="Calibri" w:hAnsi="Calibri" w:cs="Calibri"/>
          <w:sz w:val="22"/>
          <w:lang w:val="en-US"/>
        </w:rPr>
      </w:pPr>
    </w:p>
    <w:p w14:paraId="5D1CD101" w14:textId="1D6EA85C" w:rsidR="00DD5885" w:rsidRPr="00DB4184" w:rsidRDefault="00DD5885" w:rsidP="009E2AAF">
      <w:pPr>
        <w:spacing w:line="276" w:lineRule="auto"/>
        <w:rPr>
          <w:rFonts w:asciiTheme="minorHAnsi" w:hAnsiTheme="minorHAnsi" w:cstheme="minorHAnsi"/>
          <w:b/>
          <w:sz w:val="22"/>
          <w:szCs w:val="20"/>
          <w:lang w:val="en-US"/>
        </w:rPr>
      </w:pPr>
      <w:r w:rsidRPr="00DB4184">
        <w:rPr>
          <w:rFonts w:asciiTheme="minorHAnsi" w:hAnsiTheme="minorHAnsi" w:cstheme="minorHAnsi"/>
          <w:b/>
          <w:sz w:val="22"/>
          <w:szCs w:val="20"/>
          <w:lang w:val="en-US"/>
        </w:rPr>
        <w:t xml:space="preserve">2 </w:t>
      </w:r>
      <w:r w:rsidR="0010554A" w:rsidRPr="00DB4184">
        <w:rPr>
          <w:rFonts w:asciiTheme="minorHAnsi" w:hAnsiTheme="minorHAnsi" w:cstheme="minorHAnsi"/>
          <w:b/>
          <w:sz w:val="22"/>
          <w:szCs w:val="22"/>
          <w:lang w:val="en-US"/>
        </w:rPr>
        <w:t>SMALL CITIES AS GROWTH HUBS</w:t>
      </w:r>
    </w:p>
    <w:p w14:paraId="358AF5E5" w14:textId="77777777" w:rsidR="00DD5885" w:rsidRPr="00DB4184" w:rsidRDefault="00DD5885" w:rsidP="009E2AAF">
      <w:pPr>
        <w:spacing w:line="276" w:lineRule="auto"/>
        <w:rPr>
          <w:rFonts w:asciiTheme="minorHAnsi" w:hAnsiTheme="minorHAnsi" w:cstheme="minorHAnsi"/>
          <w:b/>
          <w:sz w:val="28"/>
          <w:lang w:val="en-US"/>
        </w:rPr>
      </w:pPr>
    </w:p>
    <w:p w14:paraId="4AB87BF7" w14:textId="77777777" w:rsidR="00DB4184" w:rsidRPr="00DB4184" w:rsidRDefault="00DB4184" w:rsidP="00DB4184">
      <w:pPr>
        <w:spacing w:line="276" w:lineRule="auto"/>
        <w:ind w:firstLine="708"/>
        <w:jc w:val="both"/>
        <w:rPr>
          <w:rFonts w:asciiTheme="minorHAnsi" w:hAnsiTheme="minorHAnsi" w:cstheme="minorHAnsi"/>
          <w:sz w:val="22"/>
          <w:szCs w:val="22"/>
          <w:lang w:val="en-US"/>
        </w:rPr>
      </w:pPr>
      <w:r w:rsidRPr="00DB4184">
        <w:rPr>
          <w:rFonts w:asciiTheme="minorHAnsi" w:hAnsiTheme="minorHAnsi" w:cstheme="minorHAnsi"/>
          <w:sz w:val="22"/>
          <w:szCs w:val="22"/>
          <w:lang w:val="en-US"/>
        </w:rPr>
        <w:t xml:space="preserve">The concept of a city-region is structured based on the urbanization process, with elements integrated through the increased flow of people, goods, inputs, and information, in a centripetal way in the territory where an urban nucleus (generally of a larger size) exerts </w:t>
      </w:r>
      <w:r w:rsidRPr="00DB4184">
        <w:rPr>
          <w:rFonts w:asciiTheme="minorHAnsi" w:hAnsiTheme="minorHAnsi" w:cstheme="minorHAnsi"/>
          <w:sz w:val="22"/>
          <w:szCs w:val="22"/>
          <w:lang w:val="en-US"/>
        </w:rPr>
        <w:lastRenderedPageBreak/>
        <w:t xml:space="preserve">significant hierarchical influence over the smaller urban nuclei located in its catchment area, defining a strategic political region, attracting population and economic flows and concentrating management activities and specialized services, as described by Santos (2005). Some authors provide a broader view of this concept, addressing issues such as the hierarchy of cities, extensive urbanization, the political and economic dimension, and the coexistence of different urban and regional structures. Matte Júnior and Alves (2017), Bezerra (2017), </w:t>
      </w:r>
      <w:proofErr w:type="spellStart"/>
      <w:r w:rsidRPr="00DB4184">
        <w:rPr>
          <w:rFonts w:asciiTheme="minorHAnsi" w:hAnsiTheme="minorHAnsi" w:cstheme="minorHAnsi"/>
          <w:sz w:val="22"/>
          <w:szCs w:val="22"/>
          <w:lang w:val="en-US"/>
        </w:rPr>
        <w:t>Arrais</w:t>
      </w:r>
      <w:proofErr w:type="spellEnd"/>
      <w:r w:rsidRPr="00DB4184">
        <w:rPr>
          <w:rFonts w:asciiTheme="minorHAnsi" w:hAnsiTheme="minorHAnsi" w:cstheme="minorHAnsi"/>
          <w:sz w:val="22"/>
          <w:szCs w:val="22"/>
          <w:lang w:val="en-US"/>
        </w:rPr>
        <w:t xml:space="preserve"> (2008), and Oliveira (2006) are fundamental to the discussion of the city-region concept, which emerged in response to the restructuring processes faced at both local and regional levels due to the dynamics of globalization, the formation of a new market economy and the impacts of advances in information technology and communications. Since the concept of city-region is essentially political and is linked to the need for responses from public authorities beyond the municipal scale, the role of the state in regional policy was highlighted based on the work of Magalhães (2008), Scott et al. (2001) and </w:t>
      </w:r>
      <w:proofErr w:type="spellStart"/>
      <w:r w:rsidRPr="00DB4184">
        <w:rPr>
          <w:rFonts w:asciiTheme="minorHAnsi" w:hAnsiTheme="minorHAnsi" w:cstheme="minorHAnsi"/>
          <w:sz w:val="22"/>
          <w:szCs w:val="22"/>
          <w:lang w:val="en-US"/>
        </w:rPr>
        <w:t>Lipietz</w:t>
      </w:r>
      <w:proofErr w:type="spellEnd"/>
      <w:r w:rsidRPr="00DB4184">
        <w:rPr>
          <w:rFonts w:asciiTheme="minorHAnsi" w:hAnsiTheme="minorHAnsi" w:cstheme="minorHAnsi"/>
          <w:sz w:val="22"/>
          <w:szCs w:val="22"/>
          <w:lang w:val="en-US"/>
        </w:rPr>
        <w:t xml:space="preserve"> (1988). </w:t>
      </w:r>
    </w:p>
    <w:p w14:paraId="22789138" w14:textId="77777777" w:rsidR="00DB4184" w:rsidRPr="00DB4184" w:rsidRDefault="00DB4184" w:rsidP="00F54B37">
      <w:pPr>
        <w:spacing w:line="276" w:lineRule="auto"/>
        <w:ind w:firstLine="709"/>
        <w:jc w:val="both"/>
        <w:rPr>
          <w:rFonts w:asciiTheme="minorHAnsi" w:hAnsiTheme="minorHAnsi" w:cstheme="minorHAnsi"/>
          <w:sz w:val="22"/>
          <w:szCs w:val="22"/>
          <w:lang w:val="en-US"/>
        </w:rPr>
      </w:pPr>
      <w:proofErr w:type="spellStart"/>
      <w:r w:rsidRPr="00DB4184">
        <w:rPr>
          <w:rFonts w:asciiTheme="minorHAnsi" w:hAnsiTheme="minorHAnsi" w:cstheme="minorHAnsi"/>
          <w:sz w:val="22"/>
          <w:szCs w:val="22"/>
          <w:lang w:val="en-US"/>
        </w:rPr>
        <w:t>Arrais</w:t>
      </w:r>
      <w:proofErr w:type="spellEnd"/>
      <w:r w:rsidRPr="00DB4184">
        <w:rPr>
          <w:rFonts w:asciiTheme="minorHAnsi" w:hAnsiTheme="minorHAnsi" w:cstheme="minorHAnsi"/>
          <w:sz w:val="22"/>
          <w:szCs w:val="22"/>
          <w:lang w:val="en-US"/>
        </w:rPr>
        <w:t xml:space="preserve"> (2008) explores the relationship between the urban network and the city-region, highlighting the political (and economic) dimension, as well as discussing the effects of the post-Fordist production system and the influence of technology on the formation of specialized regional centers. The author also points out the need to recognize and stimulate responses beyond the municipal scale, criticizing the abstraction and lack of political references and cohesion between regional actors in many studies on “global city-regions”.</w:t>
      </w:r>
    </w:p>
    <w:p w14:paraId="0667C6B2" w14:textId="77777777" w:rsidR="00DB4184" w:rsidRPr="00DB4184" w:rsidRDefault="00DB4184" w:rsidP="00F54B37">
      <w:pPr>
        <w:spacing w:line="276" w:lineRule="auto"/>
        <w:ind w:firstLine="709"/>
        <w:jc w:val="both"/>
        <w:rPr>
          <w:rFonts w:asciiTheme="minorHAnsi" w:hAnsiTheme="minorHAnsi" w:cstheme="minorHAnsi"/>
          <w:sz w:val="22"/>
          <w:szCs w:val="22"/>
          <w:lang w:val="en-US"/>
        </w:rPr>
      </w:pPr>
      <w:r w:rsidRPr="00DB4184">
        <w:rPr>
          <w:rFonts w:asciiTheme="minorHAnsi" w:hAnsiTheme="minorHAnsi" w:cstheme="minorHAnsi"/>
          <w:sz w:val="22"/>
          <w:szCs w:val="22"/>
          <w:lang w:val="en-US"/>
        </w:rPr>
        <w:t>For Bezerra (2017), it is possible to identify, since the 1990s, in the Brazilian context, changes in public policy networks, promoting the dissolution of major productive investments across the national territory, which results in the increase of the urban population no longer in the most developed regions, but in medium and small urban agglomerations. In this context of extensive urbanization, Santos (2008) identifies the paradigm shift, where we are faced with urbanization of the territory instead of urbanization of society. About these new trends in Brazilian urbanization, urban and regional studies, from the perspective of metropolitan dynamics, continue to focus on the areas where these changes are most intense, especially in the urban spaces of the metropolises, which reflects the transformations resulting from economic globalization, as Harvey (2005) argues. The connection between the terms “city-region” and “small towns” is established here, as they are concepts that are consolidated in the present time, as they contribute inextricably to understanding regional development.</w:t>
      </w:r>
    </w:p>
    <w:p w14:paraId="53CC5004" w14:textId="77777777" w:rsidR="00DB4184" w:rsidRPr="00DB4184" w:rsidRDefault="00DB4184" w:rsidP="00F54B37">
      <w:pPr>
        <w:spacing w:line="276" w:lineRule="auto"/>
        <w:ind w:firstLine="709"/>
        <w:jc w:val="both"/>
        <w:rPr>
          <w:rFonts w:asciiTheme="minorHAnsi" w:hAnsiTheme="minorHAnsi" w:cstheme="minorHAnsi"/>
          <w:sz w:val="22"/>
          <w:szCs w:val="22"/>
          <w:lang w:val="en-US"/>
        </w:rPr>
      </w:pPr>
      <w:r w:rsidRPr="00DB4184">
        <w:rPr>
          <w:rFonts w:asciiTheme="minorHAnsi" w:hAnsiTheme="minorHAnsi" w:cstheme="minorHAnsi"/>
          <w:sz w:val="22"/>
          <w:szCs w:val="22"/>
          <w:lang w:val="en-US"/>
        </w:rPr>
        <w:t xml:space="preserve">The hierarchical influence of the city-region, albeit limited, on networks of urban centers can be explained in the light of the theory of growth poles (Rippel, 2009). According to this theory, growth poles are urban centers that exert influence over surrounding areas, attracting resources and population, and promoting the economic and social development of these regions. In this context, the city-region acts as a dominant growth pole, concentrating economic activities, specialized services, and infrastructure, which attracts flows of people and resources from nearby smaller cities. Therefore, in the light of the theory of growth poles, the processes of hierarchical economic influence can be explained by the social, political, economic, and cultural centrality of the growth pole, which attracts resources, population, and productive activities from the surrounding areas, establishing a relationship of interdependence between the urban centers located within its radius of influence. For Jesus and Spinola (2015), the concept of a growth pole is relative and always defined with a specific reference region. </w:t>
      </w:r>
      <w:r w:rsidRPr="00DB4184">
        <w:rPr>
          <w:rFonts w:asciiTheme="minorHAnsi" w:hAnsiTheme="minorHAnsi" w:cstheme="minorHAnsi"/>
          <w:sz w:val="22"/>
          <w:szCs w:val="22"/>
          <w:lang w:val="en-US"/>
        </w:rPr>
        <w:lastRenderedPageBreak/>
        <w:t xml:space="preserve">Therefore, not only large and medium-sized cities were categorized as hubs, but also small cities which, for political, economic, or cultural reasons, exert a polarizing effect with a hierarchical influence on the surrounding cities. </w:t>
      </w:r>
    </w:p>
    <w:p w14:paraId="2B36633B" w14:textId="77777777" w:rsidR="009A5248" w:rsidRPr="009A5248" w:rsidRDefault="009A5248" w:rsidP="00F54B37">
      <w:pPr>
        <w:pStyle w:val="IDpaper-Text"/>
        <w:spacing w:after="0" w:line="276" w:lineRule="auto"/>
        <w:ind w:firstLine="709"/>
        <w:jc w:val="both"/>
        <w:rPr>
          <w:rFonts w:asciiTheme="minorHAnsi" w:hAnsiTheme="minorHAnsi" w:cstheme="minorHAnsi"/>
          <w:kern w:val="0"/>
          <w:sz w:val="22"/>
          <w:szCs w:val="22"/>
          <w:lang w:val="en-US" w:eastAsia="pt-BR"/>
        </w:rPr>
      </w:pPr>
      <w:r w:rsidRPr="009A5248">
        <w:rPr>
          <w:rFonts w:asciiTheme="minorHAnsi" w:hAnsiTheme="minorHAnsi" w:cstheme="minorHAnsi"/>
          <w:kern w:val="0"/>
          <w:sz w:val="22"/>
          <w:szCs w:val="22"/>
          <w:lang w:val="en-US" w:eastAsia="pt-BR"/>
        </w:rPr>
        <w:t xml:space="preserve">Harvey (2005) explains that the process of flexible accumulation has had a disruptive influence on the weakening of territorial boundaries, allowing the </w:t>
      </w:r>
      <w:proofErr w:type="spellStart"/>
      <w:r w:rsidRPr="009A5248">
        <w:rPr>
          <w:rFonts w:asciiTheme="minorHAnsi" w:hAnsiTheme="minorHAnsi" w:cstheme="minorHAnsi"/>
          <w:kern w:val="0"/>
          <w:sz w:val="22"/>
          <w:szCs w:val="22"/>
          <w:lang w:val="en-US" w:eastAsia="pt-BR"/>
        </w:rPr>
        <w:t>deconcentration</w:t>
      </w:r>
      <w:proofErr w:type="spellEnd"/>
      <w:r w:rsidRPr="009A5248">
        <w:rPr>
          <w:rFonts w:asciiTheme="minorHAnsi" w:hAnsiTheme="minorHAnsi" w:cstheme="minorHAnsi"/>
          <w:kern w:val="0"/>
          <w:sz w:val="22"/>
          <w:szCs w:val="22"/>
          <w:lang w:val="en-US" w:eastAsia="pt-BR"/>
        </w:rPr>
        <w:t xml:space="preserve"> of productive activity to expand and reach the peripheral regions of metropolitan areas, including small towns. Along the same lines, Benko (1996) observes that comparative advantage is artificial, arising from the exchange process itself and manifesting itself throughout regional development, as industrial agglomerations and the conditions of their external economies gradually transform. Since competitive advantage results from an (artificially) controlled process, it would be up to the state to intervene to avoid serious distortions in the territory caused by the free action of the market, since its fundamental political function is not to guarantee uniformity, but to understand that the uneven development of the territory leads to cumulative inequalities of profit and accumulation, with classic social consequences, as </w:t>
      </w:r>
      <w:proofErr w:type="spellStart"/>
      <w:r w:rsidRPr="009A5248">
        <w:rPr>
          <w:rFonts w:asciiTheme="minorHAnsi" w:hAnsiTheme="minorHAnsi" w:cstheme="minorHAnsi"/>
          <w:kern w:val="0"/>
          <w:sz w:val="22"/>
          <w:szCs w:val="22"/>
          <w:lang w:val="en-US" w:eastAsia="pt-BR"/>
        </w:rPr>
        <w:t>Lipietz</w:t>
      </w:r>
      <w:proofErr w:type="spellEnd"/>
      <w:r w:rsidRPr="009A5248">
        <w:rPr>
          <w:rFonts w:asciiTheme="minorHAnsi" w:hAnsiTheme="minorHAnsi" w:cstheme="minorHAnsi"/>
          <w:kern w:val="0"/>
          <w:sz w:val="22"/>
          <w:szCs w:val="22"/>
          <w:lang w:val="en-US" w:eastAsia="pt-BR"/>
        </w:rPr>
        <w:t xml:space="preserve"> (1988) argues.</w:t>
      </w:r>
    </w:p>
    <w:p w14:paraId="6089A37A" w14:textId="78E525A9" w:rsidR="009A5248" w:rsidRPr="009A5248" w:rsidRDefault="009A5248" w:rsidP="00F54B37">
      <w:pPr>
        <w:pStyle w:val="IDpaper-Text"/>
        <w:spacing w:after="0" w:line="276" w:lineRule="auto"/>
        <w:ind w:firstLine="709"/>
        <w:jc w:val="both"/>
        <w:rPr>
          <w:rFonts w:asciiTheme="minorHAnsi" w:hAnsiTheme="minorHAnsi" w:cstheme="minorHAnsi"/>
          <w:kern w:val="0"/>
          <w:sz w:val="22"/>
          <w:szCs w:val="22"/>
          <w:lang w:val="en-US" w:eastAsia="pt-BR"/>
        </w:rPr>
      </w:pPr>
      <w:r w:rsidRPr="009A5248">
        <w:rPr>
          <w:rFonts w:asciiTheme="minorHAnsi" w:hAnsiTheme="minorHAnsi" w:cstheme="minorHAnsi"/>
          <w:kern w:val="0"/>
          <w:sz w:val="22"/>
          <w:szCs w:val="22"/>
          <w:lang w:val="en-US" w:eastAsia="pt-BR"/>
        </w:rPr>
        <w:t xml:space="preserve">The theory of growth poles was widely used in Brazil between 1964 and 1998 and functioned as an instrument of development and regional planning, directly related to the perception of the Brazilian political class that, through the implementation of poles, it would be possible to correct existing “distortions” in the political process of resource allocation, without the need to reformulate the traditional development model. According to Silva, Rippel, and Lima (2000), when we consider the paradigm of growth poles, we find that the process of economic growth in the territory is unbalanced by nature, unlike the balance advocated by classical and neoclassical economists, whose traditional model of regional growth would at best serve countries in the global north, under conditions so restrictive that it would be practically inapplicable to countries in the global south, as stated by Jesus and Spinola (2015). Neoclassical economic thinking defends the continuous growth of per capita income, characterized by an ahistorical, unilinear, and automatic process. In his book </w:t>
      </w:r>
      <w:proofErr w:type="spellStart"/>
      <w:r w:rsidRPr="009A5248">
        <w:rPr>
          <w:rFonts w:asciiTheme="minorHAnsi" w:hAnsiTheme="minorHAnsi" w:cstheme="minorHAnsi"/>
          <w:i/>
          <w:iCs/>
          <w:kern w:val="0"/>
          <w:sz w:val="22"/>
          <w:szCs w:val="22"/>
          <w:lang w:val="en-US" w:eastAsia="pt-BR"/>
        </w:rPr>
        <w:t>L'Économie</w:t>
      </w:r>
      <w:proofErr w:type="spellEnd"/>
      <w:r w:rsidRPr="009A5248">
        <w:rPr>
          <w:rFonts w:asciiTheme="minorHAnsi" w:hAnsiTheme="minorHAnsi" w:cstheme="minorHAnsi"/>
          <w:i/>
          <w:iCs/>
          <w:kern w:val="0"/>
          <w:sz w:val="22"/>
          <w:szCs w:val="22"/>
          <w:lang w:val="en-US" w:eastAsia="pt-BR"/>
        </w:rPr>
        <w:t xml:space="preserve"> du </w:t>
      </w:r>
      <w:proofErr w:type="spellStart"/>
      <w:r w:rsidRPr="009A5248">
        <w:rPr>
          <w:rFonts w:asciiTheme="minorHAnsi" w:hAnsiTheme="minorHAnsi" w:cstheme="minorHAnsi"/>
          <w:i/>
          <w:iCs/>
          <w:kern w:val="0"/>
          <w:sz w:val="22"/>
          <w:szCs w:val="22"/>
          <w:lang w:val="en-US" w:eastAsia="pt-BR"/>
        </w:rPr>
        <w:t>XXeme</w:t>
      </w:r>
      <w:proofErr w:type="spellEnd"/>
      <w:r w:rsidRPr="009A5248">
        <w:rPr>
          <w:rFonts w:asciiTheme="minorHAnsi" w:hAnsiTheme="minorHAnsi" w:cstheme="minorHAnsi"/>
          <w:i/>
          <w:iCs/>
          <w:kern w:val="0"/>
          <w:sz w:val="22"/>
          <w:szCs w:val="22"/>
          <w:lang w:val="en-US" w:eastAsia="pt-BR"/>
        </w:rPr>
        <w:t xml:space="preserve"> siècle</w:t>
      </w:r>
      <w:r w:rsidRPr="009A5248">
        <w:rPr>
          <w:rFonts w:asciiTheme="minorHAnsi" w:hAnsiTheme="minorHAnsi" w:cstheme="minorHAnsi"/>
          <w:kern w:val="0"/>
          <w:sz w:val="22"/>
          <w:szCs w:val="22"/>
          <w:lang w:val="en-US" w:eastAsia="pt-BR"/>
        </w:rPr>
        <w:t xml:space="preserve"> (1961), Perroux dialogues in opposition to this thinking which, according to him, is formed by “adaptation without strategy, contact without combat, equilibrium without conscious arbitration, the universe of immobile and equal subjects, the opposite of the turbulent universe of societies inhabited by the spirit of competition and endowed with free institutions” (Perroux, 1961, p.</w:t>
      </w:r>
      <w:r w:rsidR="00F9496E">
        <w:rPr>
          <w:rFonts w:asciiTheme="minorHAnsi" w:hAnsiTheme="minorHAnsi" w:cstheme="minorHAnsi"/>
          <w:kern w:val="0"/>
          <w:sz w:val="22"/>
          <w:szCs w:val="22"/>
          <w:lang w:val="en-US" w:eastAsia="pt-BR"/>
        </w:rPr>
        <w:t xml:space="preserve"> </w:t>
      </w:r>
      <w:r w:rsidRPr="009A5248">
        <w:rPr>
          <w:rFonts w:asciiTheme="minorHAnsi" w:hAnsiTheme="minorHAnsi" w:cstheme="minorHAnsi"/>
          <w:kern w:val="0"/>
          <w:sz w:val="22"/>
          <w:szCs w:val="22"/>
          <w:lang w:val="en-US" w:eastAsia="pt-BR"/>
        </w:rPr>
        <w:t>140).</w:t>
      </w:r>
    </w:p>
    <w:p w14:paraId="1B515F62" w14:textId="77777777" w:rsidR="009A5248" w:rsidRPr="009A5248" w:rsidRDefault="009A5248" w:rsidP="00F54B37">
      <w:pPr>
        <w:pStyle w:val="IDpaper-Text"/>
        <w:spacing w:after="0" w:line="276" w:lineRule="auto"/>
        <w:ind w:firstLine="709"/>
        <w:jc w:val="both"/>
        <w:rPr>
          <w:rFonts w:asciiTheme="minorHAnsi" w:hAnsiTheme="minorHAnsi" w:cstheme="minorHAnsi"/>
          <w:kern w:val="0"/>
          <w:sz w:val="22"/>
          <w:szCs w:val="22"/>
          <w:lang w:val="en-US" w:eastAsia="pt-BR"/>
        </w:rPr>
      </w:pPr>
      <w:r w:rsidRPr="009A5248">
        <w:rPr>
          <w:rFonts w:asciiTheme="minorHAnsi" w:hAnsiTheme="minorHAnsi" w:cstheme="minorHAnsi"/>
          <w:kern w:val="0"/>
          <w:sz w:val="22"/>
          <w:szCs w:val="22"/>
          <w:lang w:val="en-US" w:eastAsia="pt-BR"/>
        </w:rPr>
        <w:t>Milton Santos (2011) states that “the creation, progress or decay of the regions of underdeveloped countries is explained above all by the fact that for many centuries they have responded to specific demands from the poles of the system” (p. 79). Associated with this is the fact that the countries considered “underdeveloped” have been colonies of other countries for a long time, directing their economies towards the colonizing countries. The author argues that the strategic choice of the best geographically positioned locations for the emergence of new urban areas comes from a cumulative and selective phenomenon.</w:t>
      </w:r>
    </w:p>
    <w:p w14:paraId="2054DBA5" w14:textId="1BC4E0D6" w:rsidR="00C35E6F" w:rsidRDefault="009A5248" w:rsidP="00F54B37">
      <w:pPr>
        <w:pStyle w:val="IDpaper-Text"/>
        <w:widowControl/>
        <w:spacing w:after="0" w:line="276" w:lineRule="auto"/>
        <w:ind w:firstLine="709"/>
        <w:jc w:val="both"/>
        <w:rPr>
          <w:rFonts w:asciiTheme="minorHAnsi" w:hAnsiTheme="minorHAnsi" w:cstheme="minorHAnsi"/>
          <w:kern w:val="0"/>
          <w:sz w:val="22"/>
          <w:szCs w:val="22"/>
          <w:lang w:val="en-US" w:eastAsia="pt-BR"/>
        </w:rPr>
      </w:pPr>
      <w:r w:rsidRPr="009A5248">
        <w:rPr>
          <w:rFonts w:asciiTheme="minorHAnsi" w:hAnsiTheme="minorHAnsi" w:cstheme="minorHAnsi"/>
          <w:kern w:val="0"/>
          <w:sz w:val="22"/>
          <w:szCs w:val="22"/>
          <w:lang w:val="en-US" w:eastAsia="pt-BR"/>
        </w:rPr>
        <w:t xml:space="preserve">The effects of the city-region's hierarchical economic influence on urbanization outside metropolitan regions is a complex issue that involves the interaction between urban structure, economics, and politics. Its influence on surrounding cities can be observed through heterogeneous sets of attributes: urban hierarchy, centrality, economic structure, politics and </w:t>
      </w:r>
      <w:r w:rsidRPr="009A5248">
        <w:rPr>
          <w:rFonts w:asciiTheme="minorHAnsi" w:hAnsiTheme="minorHAnsi" w:cstheme="minorHAnsi"/>
          <w:kern w:val="0"/>
          <w:sz w:val="22"/>
          <w:szCs w:val="22"/>
          <w:lang w:val="en-US" w:eastAsia="pt-BR"/>
        </w:rPr>
        <w:lastRenderedPageBreak/>
        <w:t>management, and local development. Small towns can become growth poles as a result of complex political processes that cannot be analyzed in isolation since their position concerning other cities of lesser importance within the polarized region says a lot about their vocation and the economic, political, and cultural relations that this network of cities maintains between them.</w:t>
      </w:r>
    </w:p>
    <w:p w14:paraId="54B3F084" w14:textId="77777777" w:rsidR="009A5248" w:rsidRPr="009A5248" w:rsidRDefault="009A5248" w:rsidP="009A5248">
      <w:pPr>
        <w:pStyle w:val="IDpaper-Text"/>
        <w:widowControl/>
        <w:spacing w:after="0" w:line="276" w:lineRule="auto"/>
        <w:jc w:val="both"/>
        <w:rPr>
          <w:rFonts w:asciiTheme="minorHAnsi" w:hAnsiTheme="minorHAnsi" w:cstheme="minorHAnsi"/>
          <w:sz w:val="22"/>
          <w:szCs w:val="22"/>
          <w:lang w:val="en-US"/>
        </w:rPr>
      </w:pPr>
    </w:p>
    <w:p w14:paraId="72A7D55F" w14:textId="3559EFF1" w:rsidR="00C35E6F" w:rsidRPr="00C52AE8" w:rsidRDefault="00C35E6F" w:rsidP="00C35E6F">
      <w:pPr>
        <w:spacing w:line="276" w:lineRule="auto"/>
        <w:rPr>
          <w:rFonts w:asciiTheme="minorHAnsi" w:hAnsiTheme="minorHAnsi" w:cstheme="minorHAnsi"/>
          <w:b/>
          <w:sz w:val="22"/>
          <w:szCs w:val="22"/>
          <w:lang w:val="en-US"/>
        </w:rPr>
      </w:pPr>
      <w:r w:rsidRPr="00C52AE8">
        <w:rPr>
          <w:rFonts w:asciiTheme="minorHAnsi" w:hAnsiTheme="minorHAnsi" w:cstheme="minorHAnsi"/>
          <w:b/>
          <w:sz w:val="22"/>
          <w:szCs w:val="22"/>
          <w:lang w:val="en-US"/>
        </w:rPr>
        <w:t xml:space="preserve">3 </w:t>
      </w:r>
      <w:r w:rsidR="00BA3A2D" w:rsidRPr="00C52AE8">
        <w:rPr>
          <w:rFonts w:asciiTheme="minorHAnsi" w:hAnsiTheme="minorHAnsi" w:cstheme="minorHAnsi"/>
          <w:b/>
          <w:sz w:val="22"/>
          <w:szCs w:val="22"/>
          <w:lang w:val="en-US"/>
        </w:rPr>
        <w:t>THE CITY-REGIONS OF GOIÁS</w:t>
      </w:r>
    </w:p>
    <w:p w14:paraId="67B6F38B" w14:textId="77777777" w:rsidR="00C35E6F" w:rsidRPr="00C52AE8" w:rsidRDefault="00C35E6F" w:rsidP="00C35E6F">
      <w:pPr>
        <w:spacing w:line="276" w:lineRule="auto"/>
        <w:rPr>
          <w:rFonts w:asciiTheme="minorHAnsi" w:hAnsiTheme="minorHAnsi" w:cstheme="minorHAnsi"/>
          <w:b/>
          <w:sz w:val="22"/>
          <w:szCs w:val="22"/>
          <w:lang w:val="en-US"/>
        </w:rPr>
      </w:pPr>
    </w:p>
    <w:p w14:paraId="61D7E4D8" w14:textId="77777777" w:rsidR="00C52AE8" w:rsidRPr="00927D82" w:rsidRDefault="00C52AE8" w:rsidP="00C52AE8">
      <w:pPr>
        <w:spacing w:line="276" w:lineRule="auto"/>
        <w:ind w:firstLine="708"/>
        <w:jc w:val="both"/>
        <w:rPr>
          <w:rFonts w:asciiTheme="minorHAnsi" w:hAnsiTheme="minorHAnsi" w:cstheme="minorHAnsi"/>
          <w:sz w:val="22"/>
          <w:szCs w:val="22"/>
          <w:lang w:val="en-US"/>
        </w:rPr>
      </w:pPr>
      <w:r w:rsidRPr="00C52AE8">
        <w:rPr>
          <w:rFonts w:asciiTheme="minorHAnsi" w:hAnsiTheme="minorHAnsi" w:cstheme="minorHAnsi"/>
          <w:sz w:val="22"/>
          <w:szCs w:val="22"/>
          <w:lang w:val="en-US"/>
        </w:rPr>
        <w:t xml:space="preserve">Based on the information provided by the Brazilian Institute of Geography and Statistics (IBGE), 32 cities were selected that exert centralizing functions (political, socio-economic, cultural, among others) over other cities located in their immediate surroundings, characterizing the formation of growth poles in Goiás (Map 1). </w:t>
      </w:r>
      <w:r w:rsidRPr="00927D82">
        <w:rPr>
          <w:rFonts w:asciiTheme="minorHAnsi" w:hAnsiTheme="minorHAnsi" w:cstheme="minorHAnsi"/>
          <w:sz w:val="22"/>
          <w:szCs w:val="22"/>
          <w:lang w:val="en-US"/>
        </w:rPr>
        <w:t xml:space="preserve">These cities take on the role of centralities and exert considerable influence within a radius of up to 80 kilometers, as indicated on the map. The capital of Goiás, </w:t>
      </w:r>
      <w:proofErr w:type="spellStart"/>
      <w:r w:rsidRPr="00927D82">
        <w:rPr>
          <w:rFonts w:asciiTheme="minorHAnsi" w:hAnsiTheme="minorHAnsi" w:cstheme="minorHAnsi"/>
          <w:sz w:val="22"/>
          <w:szCs w:val="22"/>
          <w:lang w:val="en-US"/>
        </w:rPr>
        <w:t>Goiânia</w:t>
      </w:r>
      <w:proofErr w:type="spellEnd"/>
      <w:r w:rsidRPr="00927D82">
        <w:rPr>
          <w:rFonts w:asciiTheme="minorHAnsi" w:hAnsiTheme="minorHAnsi" w:cstheme="minorHAnsi"/>
          <w:sz w:val="22"/>
          <w:szCs w:val="22"/>
          <w:lang w:val="en-US"/>
        </w:rPr>
        <w:t>, was not highlighted as a centralizing pole, as its influence is exerted, to a greater or lesser degree, throughout the territory of Goiás. In agreement with Silva (2013), we consider that the concept of a medium-sized city established here is not the same as that standardized by the IBGE, which is based on the demographic population to define it, but rather that of an anchor city that provides services and contributes geographically to feed its network of surrounding small cities.</w:t>
      </w:r>
    </w:p>
    <w:p w14:paraId="13AEAA34" w14:textId="66694496" w:rsidR="00C35E6F" w:rsidRPr="00927D82" w:rsidRDefault="00C52AE8" w:rsidP="00C52AE8">
      <w:pPr>
        <w:spacing w:line="276" w:lineRule="auto"/>
        <w:ind w:firstLine="708"/>
        <w:jc w:val="both"/>
        <w:rPr>
          <w:rFonts w:asciiTheme="minorHAnsi" w:hAnsiTheme="minorHAnsi" w:cstheme="minorHAnsi"/>
          <w:sz w:val="22"/>
          <w:szCs w:val="22"/>
          <w:lang w:val="en-US"/>
        </w:rPr>
      </w:pPr>
      <w:r w:rsidRPr="00927D82">
        <w:rPr>
          <w:rFonts w:asciiTheme="minorHAnsi" w:hAnsiTheme="minorHAnsi" w:cstheme="minorHAnsi"/>
          <w:sz w:val="22"/>
          <w:szCs w:val="22"/>
          <w:lang w:val="en-US"/>
        </w:rPr>
        <w:t xml:space="preserve">The </w:t>
      </w:r>
      <w:proofErr w:type="spellStart"/>
      <w:r w:rsidRPr="00927D82">
        <w:rPr>
          <w:rFonts w:asciiTheme="minorHAnsi" w:hAnsiTheme="minorHAnsi" w:cstheme="minorHAnsi"/>
          <w:sz w:val="22"/>
          <w:szCs w:val="22"/>
          <w:lang w:val="en-US"/>
        </w:rPr>
        <w:t>Anápolis</w:t>
      </w:r>
      <w:proofErr w:type="spellEnd"/>
      <w:r w:rsidRPr="00927D82">
        <w:rPr>
          <w:rFonts w:asciiTheme="minorHAnsi" w:hAnsiTheme="minorHAnsi" w:cstheme="minorHAnsi"/>
          <w:sz w:val="22"/>
          <w:szCs w:val="22"/>
          <w:lang w:val="en-US"/>
        </w:rPr>
        <w:t xml:space="preserve"> hub, for example, stands out for its logistical </w:t>
      </w:r>
      <w:r w:rsidR="00697FF1" w:rsidRPr="00927D82">
        <w:rPr>
          <w:rFonts w:asciiTheme="minorHAnsi" w:hAnsiTheme="minorHAnsi" w:cstheme="minorHAnsi"/>
          <w:sz w:val="22"/>
          <w:szCs w:val="22"/>
          <w:lang w:val="en-US"/>
        </w:rPr>
        <w:t>location</w:t>
      </w:r>
      <w:r w:rsidRPr="00927D82">
        <w:rPr>
          <w:rFonts w:asciiTheme="minorHAnsi" w:hAnsiTheme="minorHAnsi" w:cstheme="minorHAnsi"/>
          <w:sz w:val="22"/>
          <w:szCs w:val="22"/>
          <w:lang w:val="en-US"/>
        </w:rPr>
        <w:t xml:space="preserve">, the result of its geographical location (between Brasília and </w:t>
      </w:r>
      <w:proofErr w:type="spellStart"/>
      <w:r w:rsidRPr="00927D82">
        <w:rPr>
          <w:rFonts w:asciiTheme="minorHAnsi" w:hAnsiTheme="minorHAnsi" w:cstheme="minorHAnsi"/>
          <w:sz w:val="22"/>
          <w:szCs w:val="22"/>
          <w:lang w:val="en-US"/>
        </w:rPr>
        <w:t>Goiânia</w:t>
      </w:r>
      <w:proofErr w:type="spellEnd"/>
      <w:r w:rsidRPr="00927D82">
        <w:rPr>
          <w:rFonts w:asciiTheme="minorHAnsi" w:hAnsiTheme="minorHAnsi" w:cstheme="minorHAnsi"/>
          <w:sz w:val="22"/>
          <w:szCs w:val="22"/>
          <w:lang w:val="en-US"/>
        </w:rPr>
        <w:t xml:space="preserve">), and the presence of a dry port. The Rio Verde and </w:t>
      </w:r>
      <w:proofErr w:type="spellStart"/>
      <w:r w:rsidRPr="00927D82">
        <w:rPr>
          <w:rFonts w:asciiTheme="minorHAnsi" w:hAnsiTheme="minorHAnsi" w:cstheme="minorHAnsi"/>
          <w:sz w:val="22"/>
          <w:szCs w:val="22"/>
          <w:lang w:val="en-US"/>
        </w:rPr>
        <w:t>Jataí</w:t>
      </w:r>
      <w:proofErr w:type="spellEnd"/>
      <w:r w:rsidRPr="00927D82">
        <w:rPr>
          <w:rFonts w:asciiTheme="minorHAnsi" w:hAnsiTheme="minorHAnsi" w:cstheme="minorHAnsi"/>
          <w:sz w:val="22"/>
          <w:szCs w:val="22"/>
          <w:lang w:val="en-US"/>
        </w:rPr>
        <w:t xml:space="preserve"> hubs stand out for their economies, which are geared towards agribusiness and the transportation of agricultural production. The </w:t>
      </w:r>
      <w:proofErr w:type="spellStart"/>
      <w:r w:rsidRPr="00927D82">
        <w:rPr>
          <w:rFonts w:asciiTheme="minorHAnsi" w:hAnsiTheme="minorHAnsi" w:cstheme="minorHAnsi"/>
          <w:sz w:val="22"/>
          <w:szCs w:val="22"/>
          <w:lang w:val="en-US"/>
        </w:rPr>
        <w:t>Catalão</w:t>
      </w:r>
      <w:proofErr w:type="spellEnd"/>
      <w:r w:rsidRPr="00927D82">
        <w:rPr>
          <w:rFonts w:asciiTheme="minorHAnsi" w:hAnsiTheme="minorHAnsi" w:cstheme="minorHAnsi"/>
          <w:sz w:val="22"/>
          <w:szCs w:val="22"/>
          <w:lang w:val="en-US"/>
        </w:rPr>
        <w:t xml:space="preserve"> hub, on the other hand, has mining and the automotive industry at its core. The </w:t>
      </w:r>
      <w:proofErr w:type="spellStart"/>
      <w:r w:rsidRPr="00927D82">
        <w:rPr>
          <w:rFonts w:asciiTheme="minorHAnsi" w:hAnsiTheme="minorHAnsi" w:cstheme="minorHAnsi"/>
          <w:sz w:val="22"/>
          <w:szCs w:val="22"/>
          <w:lang w:val="en-US"/>
        </w:rPr>
        <w:t>Luziânia</w:t>
      </w:r>
      <w:proofErr w:type="spellEnd"/>
      <w:r w:rsidRPr="00927D82">
        <w:rPr>
          <w:rFonts w:asciiTheme="minorHAnsi" w:hAnsiTheme="minorHAnsi" w:cstheme="minorHAnsi"/>
          <w:sz w:val="22"/>
          <w:szCs w:val="22"/>
          <w:lang w:val="en-US"/>
        </w:rPr>
        <w:t xml:space="preserve"> cluster also benefits from its geographical location, since this polarized region links the productive sectors of Brasília, favoring commuting and serving exclusively to reproduce the workforce. The case of the Caldas Novas cluster, on the other hand, has tourism and its consequences as a centralizing agent in the territory, such as major real estate expansion and accelerated urban growth.</w:t>
      </w:r>
    </w:p>
    <w:p w14:paraId="0BF2B425" w14:textId="77777777" w:rsidR="00C52AE8" w:rsidRDefault="00C52AE8" w:rsidP="00C52AE8">
      <w:pPr>
        <w:spacing w:line="276" w:lineRule="auto"/>
        <w:ind w:firstLine="708"/>
        <w:jc w:val="both"/>
        <w:rPr>
          <w:rFonts w:asciiTheme="minorHAnsi" w:hAnsiTheme="minorHAnsi" w:cstheme="minorHAnsi"/>
          <w:sz w:val="22"/>
          <w:szCs w:val="22"/>
          <w:lang w:val="en-US"/>
        </w:rPr>
      </w:pPr>
    </w:p>
    <w:p w14:paraId="12020DE4" w14:textId="77777777" w:rsidR="00697FF1" w:rsidRDefault="00697FF1" w:rsidP="00C52AE8">
      <w:pPr>
        <w:spacing w:line="276" w:lineRule="auto"/>
        <w:ind w:firstLine="708"/>
        <w:jc w:val="both"/>
        <w:rPr>
          <w:rFonts w:asciiTheme="minorHAnsi" w:hAnsiTheme="minorHAnsi" w:cstheme="minorHAnsi"/>
          <w:sz w:val="22"/>
          <w:szCs w:val="22"/>
          <w:lang w:val="en-US"/>
        </w:rPr>
      </w:pPr>
    </w:p>
    <w:p w14:paraId="4917AAB7" w14:textId="77777777" w:rsidR="00697FF1" w:rsidRDefault="00697FF1" w:rsidP="00C52AE8">
      <w:pPr>
        <w:spacing w:line="276" w:lineRule="auto"/>
        <w:ind w:firstLine="708"/>
        <w:jc w:val="both"/>
        <w:rPr>
          <w:rFonts w:asciiTheme="minorHAnsi" w:hAnsiTheme="minorHAnsi" w:cstheme="minorHAnsi"/>
          <w:sz w:val="22"/>
          <w:szCs w:val="22"/>
          <w:lang w:val="en-US"/>
        </w:rPr>
      </w:pPr>
    </w:p>
    <w:p w14:paraId="275CEAA2" w14:textId="77777777" w:rsidR="00697FF1" w:rsidRDefault="00697FF1" w:rsidP="00C52AE8">
      <w:pPr>
        <w:spacing w:line="276" w:lineRule="auto"/>
        <w:ind w:firstLine="708"/>
        <w:jc w:val="both"/>
        <w:rPr>
          <w:rFonts w:asciiTheme="minorHAnsi" w:hAnsiTheme="minorHAnsi" w:cstheme="minorHAnsi"/>
          <w:sz w:val="22"/>
          <w:szCs w:val="22"/>
          <w:lang w:val="en-US"/>
        </w:rPr>
      </w:pPr>
    </w:p>
    <w:p w14:paraId="0D709C23" w14:textId="77777777" w:rsidR="00697FF1" w:rsidRDefault="00697FF1" w:rsidP="00C52AE8">
      <w:pPr>
        <w:spacing w:line="276" w:lineRule="auto"/>
        <w:ind w:firstLine="708"/>
        <w:jc w:val="both"/>
        <w:rPr>
          <w:rFonts w:asciiTheme="minorHAnsi" w:hAnsiTheme="minorHAnsi" w:cstheme="minorHAnsi"/>
          <w:sz w:val="22"/>
          <w:szCs w:val="22"/>
          <w:lang w:val="en-US"/>
        </w:rPr>
      </w:pPr>
    </w:p>
    <w:p w14:paraId="2F270EF5" w14:textId="77777777" w:rsidR="00697FF1" w:rsidRDefault="00697FF1" w:rsidP="00C52AE8">
      <w:pPr>
        <w:spacing w:line="276" w:lineRule="auto"/>
        <w:ind w:firstLine="708"/>
        <w:jc w:val="both"/>
        <w:rPr>
          <w:rFonts w:asciiTheme="minorHAnsi" w:hAnsiTheme="minorHAnsi" w:cstheme="minorHAnsi"/>
          <w:sz w:val="22"/>
          <w:szCs w:val="22"/>
          <w:lang w:val="en-US"/>
        </w:rPr>
      </w:pPr>
    </w:p>
    <w:p w14:paraId="2204DB5F" w14:textId="77777777" w:rsidR="00697FF1" w:rsidRDefault="00697FF1" w:rsidP="00C52AE8">
      <w:pPr>
        <w:spacing w:line="276" w:lineRule="auto"/>
        <w:ind w:firstLine="708"/>
        <w:jc w:val="both"/>
        <w:rPr>
          <w:rFonts w:asciiTheme="minorHAnsi" w:hAnsiTheme="minorHAnsi" w:cstheme="minorHAnsi"/>
          <w:sz w:val="22"/>
          <w:szCs w:val="22"/>
          <w:lang w:val="en-US"/>
        </w:rPr>
      </w:pPr>
    </w:p>
    <w:p w14:paraId="257B6FFF" w14:textId="77777777" w:rsidR="00697FF1" w:rsidRDefault="00697FF1" w:rsidP="00C52AE8">
      <w:pPr>
        <w:spacing w:line="276" w:lineRule="auto"/>
        <w:ind w:firstLine="708"/>
        <w:jc w:val="both"/>
        <w:rPr>
          <w:rFonts w:asciiTheme="minorHAnsi" w:hAnsiTheme="minorHAnsi" w:cstheme="minorHAnsi"/>
          <w:sz w:val="22"/>
          <w:szCs w:val="22"/>
          <w:lang w:val="en-US"/>
        </w:rPr>
      </w:pPr>
    </w:p>
    <w:p w14:paraId="6D56FA1E" w14:textId="77777777" w:rsidR="00697FF1" w:rsidRDefault="00697FF1" w:rsidP="00C52AE8">
      <w:pPr>
        <w:spacing w:line="276" w:lineRule="auto"/>
        <w:ind w:firstLine="708"/>
        <w:jc w:val="both"/>
        <w:rPr>
          <w:rFonts w:asciiTheme="minorHAnsi" w:hAnsiTheme="minorHAnsi" w:cstheme="minorHAnsi"/>
          <w:sz w:val="22"/>
          <w:szCs w:val="22"/>
          <w:lang w:val="en-US"/>
        </w:rPr>
      </w:pPr>
    </w:p>
    <w:p w14:paraId="1A3CDC95" w14:textId="77777777" w:rsidR="00697FF1" w:rsidRDefault="00697FF1" w:rsidP="00C52AE8">
      <w:pPr>
        <w:spacing w:line="276" w:lineRule="auto"/>
        <w:ind w:firstLine="708"/>
        <w:jc w:val="both"/>
        <w:rPr>
          <w:rFonts w:asciiTheme="minorHAnsi" w:hAnsiTheme="minorHAnsi" w:cstheme="minorHAnsi"/>
          <w:sz w:val="22"/>
          <w:szCs w:val="22"/>
          <w:lang w:val="en-US"/>
        </w:rPr>
      </w:pPr>
    </w:p>
    <w:p w14:paraId="5624F297" w14:textId="77777777" w:rsidR="00697FF1" w:rsidRDefault="00697FF1" w:rsidP="00C52AE8">
      <w:pPr>
        <w:spacing w:line="276" w:lineRule="auto"/>
        <w:ind w:firstLine="708"/>
        <w:jc w:val="both"/>
        <w:rPr>
          <w:rFonts w:asciiTheme="minorHAnsi" w:hAnsiTheme="minorHAnsi" w:cstheme="minorHAnsi"/>
          <w:sz w:val="22"/>
          <w:szCs w:val="22"/>
          <w:lang w:val="en-US"/>
        </w:rPr>
      </w:pPr>
    </w:p>
    <w:p w14:paraId="36A7063D" w14:textId="77777777" w:rsidR="00697FF1" w:rsidRDefault="00697FF1" w:rsidP="00C52AE8">
      <w:pPr>
        <w:spacing w:line="276" w:lineRule="auto"/>
        <w:ind w:firstLine="708"/>
        <w:jc w:val="both"/>
        <w:rPr>
          <w:rFonts w:asciiTheme="minorHAnsi" w:hAnsiTheme="minorHAnsi" w:cstheme="minorHAnsi"/>
          <w:sz w:val="22"/>
          <w:szCs w:val="22"/>
          <w:lang w:val="en-US"/>
        </w:rPr>
      </w:pPr>
    </w:p>
    <w:p w14:paraId="649E1838" w14:textId="77777777" w:rsidR="00697FF1" w:rsidRDefault="00697FF1" w:rsidP="00C52AE8">
      <w:pPr>
        <w:spacing w:line="276" w:lineRule="auto"/>
        <w:ind w:firstLine="708"/>
        <w:jc w:val="both"/>
        <w:rPr>
          <w:rFonts w:asciiTheme="minorHAnsi" w:hAnsiTheme="minorHAnsi" w:cstheme="minorHAnsi"/>
          <w:sz w:val="22"/>
          <w:szCs w:val="22"/>
          <w:lang w:val="en-US"/>
        </w:rPr>
      </w:pPr>
    </w:p>
    <w:p w14:paraId="3ABE04E4" w14:textId="77777777" w:rsidR="00697FF1" w:rsidRDefault="00697FF1" w:rsidP="00C52AE8">
      <w:pPr>
        <w:spacing w:line="276" w:lineRule="auto"/>
        <w:ind w:firstLine="708"/>
        <w:jc w:val="both"/>
        <w:rPr>
          <w:rFonts w:asciiTheme="minorHAnsi" w:hAnsiTheme="minorHAnsi" w:cstheme="minorHAnsi"/>
          <w:sz w:val="22"/>
          <w:szCs w:val="22"/>
          <w:lang w:val="en-US"/>
        </w:rPr>
      </w:pPr>
    </w:p>
    <w:p w14:paraId="7A2E49B5" w14:textId="77777777" w:rsidR="00697FF1" w:rsidRPr="00927D82" w:rsidRDefault="00697FF1" w:rsidP="00527835">
      <w:pPr>
        <w:spacing w:line="276" w:lineRule="auto"/>
        <w:jc w:val="both"/>
        <w:rPr>
          <w:rFonts w:asciiTheme="minorHAnsi" w:hAnsiTheme="minorHAnsi" w:cstheme="minorHAnsi"/>
          <w:sz w:val="22"/>
          <w:szCs w:val="22"/>
          <w:lang w:val="en-US"/>
        </w:rPr>
      </w:pPr>
    </w:p>
    <w:p w14:paraId="012E0D4B" w14:textId="77777777" w:rsidR="00927D82" w:rsidRPr="00927D82" w:rsidRDefault="00927D82" w:rsidP="00C35E6F">
      <w:pPr>
        <w:spacing w:line="276" w:lineRule="auto"/>
        <w:jc w:val="center"/>
        <w:rPr>
          <w:rFonts w:asciiTheme="minorHAnsi" w:hAnsiTheme="minorHAnsi" w:cstheme="minorHAnsi"/>
          <w:sz w:val="18"/>
          <w:szCs w:val="18"/>
          <w:lang w:val="en-US"/>
        </w:rPr>
      </w:pPr>
      <w:r w:rsidRPr="00927D82">
        <w:rPr>
          <w:rFonts w:asciiTheme="minorHAnsi" w:hAnsiTheme="minorHAnsi" w:cstheme="minorHAnsi"/>
          <w:sz w:val="18"/>
          <w:szCs w:val="18"/>
          <w:lang w:val="en-US"/>
        </w:rPr>
        <w:lastRenderedPageBreak/>
        <w:t>Map 1 - Growth poles in the state of Goiás, considering the current context.</w:t>
      </w:r>
    </w:p>
    <w:p w14:paraId="3AB6486B" w14:textId="0BDFFDC0" w:rsidR="00C35E6F" w:rsidRPr="00B5679B" w:rsidRDefault="00697FF1" w:rsidP="00C35E6F">
      <w:pPr>
        <w:spacing w:line="276" w:lineRule="auto"/>
        <w:jc w:val="center"/>
        <w:rPr>
          <w:rFonts w:asciiTheme="minorHAnsi" w:hAnsiTheme="minorHAnsi" w:cstheme="minorHAnsi"/>
          <w:sz w:val="18"/>
          <w:szCs w:val="18"/>
          <w:lang w:val="en-US"/>
        </w:rPr>
      </w:pPr>
      <w:r>
        <w:rPr>
          <w:rFonts w:asciiTheme="minorHAnsi" w:hAnsiTheme="minorHAnsi" w:cstheme="minorHAnsi"/>
          <w:noProof/>
          <w:color w:val="C00000"/>
          <w:sz w:val="22"/>
          <w:szCs w:val="22"/>
          <w:lang w:val="en-US"/>
        </w:rPr>
        <w:drawing>
          <wp:inline distT="0" distB="0" distL="0" distR="0" wp14:anchorId="0D989740" wp14:editId="14B5573A">
            <wp:extent cx="5397500" cy="5397500"/>
            <wp:effectExtent l="0" t="0" r="0" b="0"/>
            <wp:docPr id="175558829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500" cy="5397500"/>
                    </a:xfrm>
                    <a:prstGeom prst="rect">
                      <a:avLst/>
                    </a:prstGeom>
                    <a:noFill/>
                    <a:ln>
                      <a:noFill/>
                    </a:ln>
                  </pic:spPr>
                </pic:pic>
              </a:graphicData>
            </a:graphic>
          </wp:inline>
        </w:drawing>
      </w:r>
      <w:r w:rsidR="00C35E6F" w:rsidRPr="00B5679B">
        <w:rPr>
          <w:rFonts w:asciiTheme="minorHAnsi" w:hAnsiTheme="minorHAnsi" w:cstheme="minorHAnsi"/>
          <w:color w:val="C00000"/>
          <w:sz w:val="22"/>
          <w:szCs w:val="22"/>
          <w:lang w:val="en-US"/>
        </w:rPr>
        <w:t xml:space="preserve">  </w:t>
      </w:r>
      <w:r w:rsidR="00B5679B" w:rsidRPr="00B5679B">
        <w:rPr>
          <w:rFonts w:asciiTheme="minorHAnsi" w:hAnsiTheme="minorHAnsi" w:cstheme="minorHAnsi"/>
          <w:sz w:val="18"/>
          <w:szCs w:val="18"/>
          <w:lang w:val="en-US"/>
        </w:rPr>
        <w:t>Source: Base map taken from IBGE (1995), modified by the authors (2024).</w:t>
      </w:r>
    </w:p>
    <w:p w14:paraId="1B41ED7D" w14:textId="77777777" w:rsidR="00C35E6F" w:rsidRPr="00B5679B" w:rsidRDefault="00C35E6F" w:rsidP="00C35E6F">
      <w:pPr>
        <w:spacing w:line="276" w:lineRule="auto"/>
        <w:rPr>
          <w:rFonts w:asciiTheme="minorHAnsi" w:hAnsiTheme="minorHAnsi" w:cstheme="minorHAnsi"/>
          <w:sz w:val="18"/>
          <w:szCs w:val="18"/>
          <w:lang w:val="en-US"/>
        </w:rPr>
      </w:pPr>
    </w:p>
    <w:p w14:paraId="2B22BED7" w14:textId="32BE2A4A" w:rsidR="00212398" w:rsidRPr="0016764D" w:rsidRDefault="0016764D" w:rsidP="00212398">
      <w:pPr>
        <w:spacing w:line="276" w:lineRule="auto"/>
        <w:ind w:firstLine="708"/>
        <w:jc w:val="both"/>
        <w:rPr>
          <w:rFonts w:asciiTheme="minorHAnsi" w:hAnsiTheme="minorHAnsi" w:cstheme="minorHAnsi"/>
          <w:sz w:val="22"/>
          <w:szCs w:val="22"/>
          <w:lang w:val="en-US"/>
        </w:rPr>
      </w:pPr>
      <w:r w:rsidRPr="0016764D">
        <w:rPr>
          <w:rFonts w:asciiTheme="minorHAnsi" w:hAnsiTheme="minorHAnsi" w:cstheme="minorHAnsi"/>
          <w:sz w:val="22"/>
          <w:szCs w:val="22"/>
          <w:lang w:val="en-US"/>
        </w:rPr>
        <w:t>Although the radius of influence shown on Map 1 is considered to be the same size for all the hubs, we understand that as the hub city adds more quality services, demanding better-qualified professionals, it will be able to serve a larger population. In this case, considering the same geographical conditions, there is a tendency for a city with 40,000 inhabitants to serve a larger area than one with less than 20,000 inhabitants, for example. The growth poles in Goiás can be defined by the centralizing actions listed in the table below, separated by the regions where they are located.</w:t>
      </w:r>
    </w:p>
    <w:p w14:paraId="06926242" w14:textId="77777777" w:rsidR="0016764D" w:rsidRPr="003741A2" w:rsidRDefault="0016764D" w:rsidP="006F593D">
      <w:pPr>
        <w:pStyle w:val="IDpaper-figureCaption"/>
        <w:widowControl/>
        <w:spacing w:before="0" w:after="0" w:line="240" w:lineRule="auto"/>
        <w:rPr>
          <w:rFonts w:asciiTheme="minorHAnsi" w:hAnsiTheme="minorHAnsi" w:cstheme="minorHAnsi"/>
          <w:sz w:val="18"/>
          <w:szCs w:val="18"/>
          <w:lang w:val="en-US"/>
        </w:rPr>
      </w:pPr>
    </w:p>
    <w:p w14:paraId="18B30858" w14:textId="77777777" w:rsidR="00527835" w:rsidRDefault="00527835">
      <w:pPr>
        <w:rPr>
          <w:rFonts w:asciiTheme="minorHAnsi" w:hAnsiTheme="minorHAnsi" w:cstheme="minorHAnsi"/>
          <w:kern w:val="16"/>
          <w:sz w:val="18"/>
          <w:szCs w:val="18"/>
          <w:lang w:val="en-US" w:eastAsia="en-US"/>
        </w:rPr>
      </w:pPr>
      <w:r>
        <w:rPr>
          <w:rFonts w:asciiTheme="minorHAnsi" w:hAnsiTheme="minorHAnsi" w:cstheme="minorHAnsi"/>
          <w:sz w:val="18"/>
          <w:szCs w:val="18"/>
          <w:lang w:val="en-US"/>
        </w:rPr>
        <w:br w:type="page"/>
      </w:r>
    </w:p>
    <w:p w14:paraId="089DDF21" w14:textId="2B5FE3CD" w:rsidR="00C35E6F" w:rsidRPr="008D5647" w:rsidRDefault="008D5647" w:rsidP="00697FF1">
      <w:pPr>
        <w:pStyle w:val="IDpaper-figureCaption"/>
        <w:widowControl/>
        <w:spacing w:before="0" w:after="0" w:line="240" w:lineRule="auto"/>
        <w:rPr>
          <w:rFonts w:asciiTheme="minorHAnsi" w:hAnsiTheme="minorHAnsi" w:cstheme="minorHAnsi"/>
          <w:sz w:val="18"/>
          <w:szCs w:val="18"/>
          <w:lang w:val="en-US"/>
        </w:rPr>
      </w:pPr>
      <w:r w:rsidRPr="008D5647">
        <w:rPr>
          <w:rFonts w:asciiTheme="minorHAnsi" w:hAnsiTheme="minorHAnsi" w:cstheme="minorHAnsi"/>
          <w:sz w:val="18"/>
          <w:szCs w:val="18"/>
          <w:lang w:val="en-US"/>
        </w:rPr>
        <w:lastRenderedPageBreak/>
        <w:t>Table 1 - Distribution of hub cities in Goiás, grouped by region</w:t>
      </w:r>
    </w:p>
    <w:tbl>
      <w:tblPr>
        <w:tblStyle w:val="TabeladeGrade2"/>
        <w:tblW w:w="850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6521"/>
        <w:gridCol w:w="1984"/>
      </w:tblGrid>
      <w:tr w:rsidR="006F593D" w:rsidRPr="006F593D" w14:paraId="02769A2D" w14:textId="77777777" w:rsidTr="00697F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none" w:sz="0" w:space="0" w:color="auto"/>
              <w:bottom w:val="none" w:sz="0" w:space="0" w:color="auto"/>
              <w:right w:val="none" w:sz="0" w:space="0" w:color="auto"/>
            </w:tcBorders>
          </w:tcPr>
          <w:p w14:paraId="0EBD2A5F" w14:textId="761504E5" w:rsidR="006F593D" w:rsidRPr="006F593D" w:rsidRDefault="00B438AC" w:rsidP="004C25CA">
            <w:pPr>
              <w:spacing w:line="276" w:lineRule="auto"/>
              <w:jc w:val="center"/>
              <w:rPr>
                <w:rFonts w:asciiTheme="minorHAnsi" w:hAnsiTheme="minorHAnsi" w:cstheme="minorHAnsi"/>
                <w:b w:val="0"/>
                <w:sz w:val="18"/>
                <w:szCs w:val="18"/>
              </w:rPr>
            </w:pPr>
            <w:bookmarkStart w:id="0" w:name="_Hlk166426225"/>
            <w:r w:rsidRPr="00B438AC">
              <w:rPr>
                <w:rFonts w:asciiTheme="minorHAnsi" w:hAnsiTheme="minorHAnsi" w:cstheme="minorHAnsi"/>
                <w:sz w:val="18"/>
                <w:szCs w:val="18"/>
              </w:rPr>
              <w:t xml:space="preserve">City / </w:t>
            </w:r>
            <w:proofErr w:type="spellStart"/>
            <w:r w:rsidRPr="00B438AC">
              <w:rPr>
                <w:rFonts w:asciiTheme="minorHAnsi" w:hAnsiTheme="minorHAnsi" w:cstheme="minorHAnsi"/>
                <w:sz w:val="18"/>
                <w:szCs w:val="18"/>
              </w:rPr>
              <w:t>Population</w:t>
            </w:r>
            <w:proofErr w:type="spellEnd"/>
          </w:p>
        </w:tc>
        <w:tc>
          <w:tcPr>
            <w:tcW w:w="1984" w:type="dxa"/>
            <w:tcBorders>
              <w:top w:val="none" w:sz="0" w:space="0" w:color="auto"/>
              <w:left w:val="none" w:sz="0" w:space="0" w:color="auto"/>
              <w:bottom w:val="none" w:sz="0" w:space="0" w:color="auto"/>
            </w:tcBorders>
          </w:tcPr>
          <w:p w14:paraId="0A0F27CD" w14:textId="064FDC8E" w:rsidR="006F593D" w:rsidRPr="006F593D" w:rsidRDefault="00410B53" w:rsidP="004C25C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proofErr w:type="spellStart"/>
            <w:r w:rsidRPr="00410B53">
              <w:rPr>
                <w:rFonts w:asciiTheme="minorHAnsi" w:hAnsiTheme="minorHAnsi" w:cstheme="minorHAnsi"/>
                <w:sz w:val="18"/>
                <w:szCs w:val="18"/>
              </w:rPr>
              <w:t>Region</w:t>
            </w:r>
            <w:proofErr w:type="spellEnd"/>
          </w:p>
        </w:tc>
      </w:tr>
      <w:tr w:rsidR="006F593D" w:rsidRPr="00812FE0" w14:paraId="64869611" w14:textId="77777777" w:rsidTr="00697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1B055464" w14:textId="77777777" w:rsidR="006F593D" w:rsidRPr="006F593D" w:rsidRDefault="006F593D" w:rsidP="004C25CA">
            <w:pPr>
              <w:spacing w:line="276" w:lineRule="auto"/>
              <w:jc w:val="center"/>
              <w:rPr>
                <w:rFonts w:asciiTheme="minorHAnsi" w:hAnsiTheme="minorHAnsi" w:cstheme="minorHAnsi"/>
                <w:b w:val="0"/>
                <w:bCs w:val="0"/>
                <w:sz w:val="18"/>
                <w:szCs w:val="18"/>
              </w:rPr>
            </w:pPr>
            <w:r w:rsidRPr="006F593D">
              <w:rPr>
                <w:rFonts w:asciiTheme="minorHAnsi" w:hAnsiTheme="minorHAnsi" w:cstheme="minorHAnsi"/>
                <w:b w:val="0"/>
                <w:bCs w:val="0"/>
                <w:sz w:val="18"/>
                <w:szCs w:val="18"/>
              </w:rPr>
              <w:t>Alto Paraíso de Goiás (10.306); Alvorada do Norte (8.446); Campos Belos (18.108); Crixás (17.065); Minaçu (27.075); Niquelândia (34.964); Porangatu (44.317); Posse (34.914); São Miguel do Araguaia (21.900); Uruaçu (42.546)</w:t>
            </w:r>
          </w:p>
        </w:tc>
        <w:tc>
          <w:tcPr>
            <w:tcW w:w="1984" w:type="dxa"/>
          </w:tcPr>
          <w:p w14:paraId="368341F8" w14:textId="0432E652" w:rsidR="006F593D" w:rsidRPr="006F593D" w:rsidRDefault="006F593D" w:rsidP="004C25C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F593D">
              <w:rPr>
                <w:rFonts w:asciiTheme="minorHAnsi" w:hAnsiTheme="minorHAnsi" w:cstheme="minorHAnsi"/>
                <w:sz w:val="18"/>
                <w:szCs w:val="18"/>
              </w:rPr>
              <w:t>Nor</w:t>
            </w:r>
            <w:r w:rsidR="00410B53">
              <w:rPr>
                <w:rFonts w:asciiTheme="minorHAnsi" w:hAnsiTheme="minorHAnsi" w:cstheme="minorHAnsi"/>
                <w:sz w:val="18"/>
                <w:szCs w:val="18"/>
              </w:rPr>
              <w:t>th</w:t>
            </w:r>
          </w:p>
        </w:tc>
      </w:tr>
      <w:tr w:rsidR="006F593D" w:rsidRPr="00812FE0" w14:paraId="754CAADD" w14:textId="77777777" w:rsidTr="00697FF1">
        <w:tc>
          <w:tcPr>
            <w:cnfStyle w:val="001000000000" w:firstRow="0" w:lastRow="0" w:firstColumn="1" w:lastColumn="0" w:oddVBand="0" w:evenVBand="0" w:oddHBand="0" w:evenHBand="0" w:firstRowFirstColumn="0" w:firstRowLastColumn="0" w:lastRowFirstColumn="0" w:lastRowLastColumn="0"/>
            <w:tcW w:w="6521" w:type="dxa"/>
          </w:tcPr>
          <w:p w14:paraId="1A37F540" w14:textId="77777777" w:rsidR="006F593D" w:rsidRPr="006F593D" w:rsidRDefault="006F593D" w:rsidP="004C25CA">
            <w:pPr>
              <w:spacing w:line="276" w:lineRule="auto"/>
              <w:jc w:val="center"/>
              <w:rPr>
                <w:rFonts w:asciiTheme="minorHAnsi" w:hAnsiTheme="minorHAnsi" w:cstheme="minorHAnsi"/>
                <w:b w:val="0"/>
                <w:bCs w:val="0"/>
                <w:sz w:val="18"/>
                <w:szCs w:val="18"/>
              </w:rPr>
            </w:pPr>
            <w:r w:rsidRPr="006F593D">
              <w:rPr>
                <w:rFonts w:asciiTheme="minorHAnsi" w:hAnsiTheme="minorHAnsi" w:cstheme="minorHAnsi"/>
                <w:b w:val="0"/>
                <w:bCs w:val="0"/>
                <w:sz w:val="18"/>
                <w:szCs w:val="18"/>
              </w:rPr>
              <w:t xml:space="preserve">Anápolis (398.869); Aparecida de Goiânia (527.796); Goianésia (73.707); Itaberaí (44.734); Trindade (142.431); </w:t>
            </w:r>
          </w:p>
        </w:tc>
        <w:tc>
          <w:tcPr>
            <w:tcW w:w="1984" w:type="dxa"/>
          </w:tcPr>
          <w:p w14:paraId="6FC86161" w14:textId="681CEB3C" w:rsidR="006F593D" w:rsidRPr="006F593D" w:rsidRDefault="006F593D" w:rsidP="004C25C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F593D">
              <w:rPr>
                <w:rFonts w:asciiTheme="minorHAnsi" w:hAnsiTheme="minorHAnsi" w:cstheme="minorHAnsi"/>
                <w:sz w:val="18"/>
                <w:szCs w:val="18"/>
              </w:rPr>
              <w:t>Cent</w:t>
            </w:r>
            <w:r w:rsidR="00410B53">
              <w:rPr>
                <w:rFonts w:asciiTheme="minorHAnsi" w:hAnsiTheme="minorHAnsi" w:cstheme="minorHAnsi"/>
                <w:sz w:val="18"/>
                <w:szCs w:val="18"/>
              </w:rPr>
              <w:t>er</w:t>
            </w:r>
          </w:p>
        </w:tc>
      </w:tr>
      <w:tr w:rsidR="006F593D" w:rsidRPr="00812FE0" w14:paraId="276E62F4" w14:textId="77777777" w:rsidTr="00697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1943DE64" w14:textId="77777777" w:rsidR="006F593D" w:rsidRPr="006F593D" w:rsidRDefault="006F593D" w:rsidP="004C25CA">
            <w:pPr>
              <w:spacing w:line="276" w:lineRule="auto"/>
              <w:jc w:val="center"/>
              <w:rPr>
                <w:rFonts w:asciiTheme="minorHAnsi" w:hAnsiTheme="minorHAnsi" w:cstheme="minorHAnsi"/>
                <w:b w:val="0"/>
                <w:bCs w:val="0"/>
                <w:sz w:val="18"/>
                <w:szCs w:val="18"/>
              </w:rPr>
            </w:pPr>
            <w:r w:rsidRPr="006F593D">
              <w:rPr>
                <w:rFonts w:asciiTheme="minorHAnsi" w:hAnsiTheme="minorHAnsi" w:cstheme="minorHAnsi"/>
                <w:b w:val="0"/>
                <w:bCs w:val="0"/>
                <w:sz w:val="18"/>
                <w:szCs w:val="18"/>
              </w:rPr>
              <w:t>Águas Lindas de Goiás (225.693); Cristalina (62.337); Formosa (115.901); Luziânia (209.129); Planaltina (105.031)</w:t>
            </w:r>
          </w:p>
        </w:tc>
        <w:tc>
          <w:tcPr>
            <w:tcW w:w="1984" w:type="dxa"/>
          </w:tcPr>
          <w:p w14:paraId="5BB770C7" w14:textId="75024232" w:rsidR="006F593D" w:rsidRPr="006F593D" w:rsidRDefault="00410B53" w:rsidP="004C25C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East</w:t>
            </w:r>
          </w:p>
        </w:tc>
      </w:tr>
      <w:tr w:rsidR="006F593D" w:rsidRPr="00812FE0" w14:paraId="07761AB8" w14:textId="77777777" w:rsidTr="00697FF1">
        <w:tc>
          <w:tcPr>
            <w:cnfStyle w:val="001000000000" w:firstRow="0" w:lastRow="0" w:firstColumn="1" w:lastColumn="0" w:oddVBand="0" w:evenVBand="0" w:oddHBand="0" w:evenHBand="0" w:firstRowFirstColumn="0" w:firstRowLastColumn="0" w:lastRowFirstColumn="0" w:lastRowLastColumn="0"/>
            <w:tcW w:w="6521" w:type="dxa"/>
          </w:tcPr>
          <w:p w14:paraId="50D6EA41" w14:textId="77777777" w:rsidR="006F593D" w:rsidRPr="006F593D" w:rsidRDefault="006F593D" w:rsidP="004C25CA">
            <w:pPr>
              <w:spacing w:line="276" w:lineRule="auto"/>
              <w:jc w:val="center"/>
              <w:rPr>
                <w:rFonts w:asciiTheme="minorHAnsi" w:hAnsiTheme="minorHAnsi" w:cstheme="minorHAnsi"/>
                <w:b w:val="0"/>
                <w:bCs w:val="0"/>
                <w:sz w:val="18"/>
                <w:szCs w:val="18"/>
              </w:rPr>
            </w:pPr>
            <w:r w:rsidRPr="006F593D">
              <w:rPr>
                <w:rFonts w:asciiTheme="minorHAnsi" w:hAnsiTheme="minorHAnsi" w:cstheme="minorHAnsi"/>
                <w:b w:val="0"/>
                <w:bCs w:val="0"/>
                <w:sz w:val="18"/>
                <w:szCs w:val="18"/>
              </w:rPr>
              <w:t>Aragarças (18.390); Iporá (35.684); Itapuranga (26.113); Jussara (19.620); São Luís de Montes Belos (33.852)</w:t>
            </w:r>
          </w:p>
        </w:tc>
        <w:tc>
          <w:tcPr>
            <w:tcW w:w="1984" w:type="dxa"/>
          </w:tcPr>
          <w:p w14:paraId="5FE5A19E" w14:textId="07C55BCB" w:rsidR="006F593D" w:rsidRPr="006F593D" w:rsidRDefault="00410B53" w:rsidP="004C25C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West</w:t>
            </w:r>
          </w:p>
        </w:tc>
      </w:tr>
      <w:tr w:rsidR="006F593D" w:rsidRPr="00812FE0" w14:paraId="667FF59F" w14:textId="77777777" w:rsidTr="00697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58EBC308" w14:textId="77777777" w:rsidR="006F593D" w:rsidRPr="006F593D" w:rsidRDefault="006F593D" w:rsidP="004C25CA">
            <w:pPr>
              <w:spacing w:line="276" w:lineRule="auto"/>
              <w:jc w:val="center"/>
              <w:rPr>
                <w:rFonts w:asciiTheme="minorHAnsi" w:hAnsiTheme="minorHAnsi" w:cstheme="minorHAnsi"/>
                <w:b w:val="0"/>
                <w:bCs w:val="0"/>
                <w:sz w:val="18"/>
                <w:szCs w:val="18"/>
              </w:rPr>
            </w:pPr>
            <w:r w:rsidRPr="006F593D">
              <w:rPr>
                <w:rFonts w:asciiTheme="minorHAnsi" w:hAnsiTheme="minorHAnsi" w:cstheme="minorHAnsi"/>
                <w:b w:val="0"/>
                <w:bCs w:val="0"/>
                <w:sz w:val="18"/>
                <w:szCs w:val="18"/>
              </w:rPr>
              <w:t xml:space="preserve">Caldas Novas (98.622); Catalão (114.427); Itumbiara (107.970); </w:t>
            </w:r>
          </w:p>
        </w:tc>
        <w:tc>
          <w:tcPr>
            <w:tcW w:w="1984" w:type="dxa"/>
          </w:tcPr>
          <w:p w14:paraId="67A600F7" w14:textId="59515A5A" w:rsidR="006F593D" w:rsidRPr="006F593D" w:rsidRDefault="0026575C" w:rsidP="004C25C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6575C">
              <w:rPr>
                <w:rFonts w:asciiTheme="minorHAnsi" w:hAnsiTheme="minorHAnsi" w:cstheme="minorHAnsi"/>
                <w:sz w:val="18"/>
                <w:szCs w:val="18"/>
              </w:rPr>
              <w:t>South</w:t>
            </w:r>
          </w:p>
        </w:tc>
      </w:tr>
      <w:tr w:rsidR="006F593D" w:rsidRPr="00812FE0" w14:paraId="55CD308A" w14:textId="77777777" w:rsidTr="00697FF1">
        <w:tc>
          <w:tcPr>
            <w:cnfStyle w:val="001000000000" w:firstRow="0" w:lastRow="0" w:firstColumn="1" w:lastColumn="0" w:oddVBand="0" w:evenVBand="0" w:oddHBand="0" w:evenHBand="0" w:firstRowFirstColumn="0" w:firstRowLastColumn="0" w:lastRowFirstColumn="0" w:lastRowLastColumn="0"/>
            <w:tcW w:w="6521" w:type="dxa"/>
          </w:tcPr>
          <w:p w14:paraId="55FEB232" w14:textId="77777777" w:rsidR="006F593D" w:rsidRPr="006F593D" w:rsidRDefault="006F593D" w:rsidP="004C25CA">
            <w:pPr>
              <w:spacing w:line="276" w:lineRule="auto"/>
              <w:jc w:val="center"/>
              <w:rPr>
                <w:rFonts w:asciiTheme="minorHAnsi" w:hAnsiTheme="minorHAnsi" w:cstheme="minorHAnsi"/>
                <w:b w:val="0"/>
                <w:bCs w:val="0"/>
                <w:sz w:val="18"/>
                <w:szCs w:val="18"/>
              </w:rPr>
            </w:pPr>
            <w:r w:rsidRPr="006F593D">
              <w:rPr>
                <w:rFonts w:asciiTheme="minorHAnsi" w:hAnsiTheme="minorHAnsi" w:cstheme="minorHAnsi"/>
                <w:b w:val="0"/>
                <w:bCs w:val="0"/>
                <w:sz w:val="18"/>
                <w:szCs w:val="18"/>
              </w:rPr>
              <w:t>Quirinópolis (48.447); Rio Verde (225.696); Mineiros (70.081); Jataí (105.729)</w:t>
            </w:r>
          </w:p>
        </w:tc>
        <w:tc>
          <w:tcPr>
            <w:tcW w:w="1984" w:type="dxa"/>
          </w:tcPr>
          <w:p w14:paraId="27071569" w14:textId="31D4A149" w:rsidR="006F593D" w:rsidRPr="006F593D" w:rsidRDefault="0026575C" w:rsidP="004C25C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6575C">
              <w:rPr>
                <w:rFonts w:asciiTheme="minorHAnsi" w:hAnsiTheme="minorHAnsi" w:cstheme="minorHAnsi"/>
                <w:sz w:val="18"/>
                <w:szCs w:val="18"/>
              </w:rPr>
              <w:t>Southwest</w:t>
            </w:r>
          </w:p>
        </w:tc>
      </w:tr>
    </w:tbl>
    <w:bookmarkEnd w:id="0"/>
    <w:p w14:paraId="60898462" w14:textId="5AB850EB" w:rsidR="006F593D" w:rsidRPr="0026575C" w:rsidRDefault="0026575C" w:rsidP="006F593D">
      <w:pPr>
        <w:spacing w:line="276" w:lineRule="auto"/>
        <w:rPr>
          <w:rFonts w:asciiTheme="minorHAnsi" w:hAnsiTheme="minorHAnsi" w:cstheme="minorHAnsi"/>
          <w:sz w:val="18"/>
          <w:szCs w:val="18"/>
          <w:lang w:val="en-US"/>
        </w:rPr>
      </w:pPr>
      <w:r w:rsidRPr="0026575C">
        <w:rPr>
          <w:rFonts w:asciiTheme="minorHAnsi" w:hAnsiTheme="minorHAnsi" w:cstheme="minorHAnsi"/>
          <w:sz w:val="18"/>
          <w:szCs w:val="18"/>
          <w:lang w:val="en-US"/>
        </w:rPr>
        <w:t>Source: Prepared by the authors, with information from IBGE (2022).</w:t>
      </w:r>
    </w:p>
    <w:p w14:paraId="437C32FF" w14:textId="77777777" w:rsidR="006F593D" w:rsidRPr="0026575C" w:rsidRDefault="006F593D" w:rsidP="00C35E6F">
      <w:pPr>
        <w:spacing w:line="276" w:lineRule="auto"/>
        <w:rPr>
          <w:rFonts w:asciiTheme="minorHAnsi" w:hAnsiTheme="minorHAnsi" w:cstheme="minorHAnsi"/>
          <w:sz w:val="20"/>
          <w:szCs w:val="20"/>
          <w:lang w:val="en-US"/>
        </w:rPr>
      </w:pPr>
    </w:p>
    <w:p w14:paraId="6BB4C81A" w14:textId="1063B641" w:rsidR="00154F26" w:rsidRPr="00516085" w:rsidRDefault="00154F26" w:rsidP="00154F26">
      <w:pPr>
        <w:spacing w:line="276" w:lineRule="auto"/>
        <w:ind w:firstLine="709"/>
        <w:jc w:val="both"/>
        <w:rPr>
          <w:rFonts w:asciiTheme="minorHAnsi" w:hAnsiTheme="minorHAnsi" w:cstheme="minorHAnsi"/>
          <w:sz w:val="22"/>
          <w:szCs w:val="22"/>
          <w:lang w:val="en-US"/>
        </w:rPr>
      </w:pPr>
      <w:r w:rsidRPr="00154F26">
        <w:rPr>
          <w:rFonts w:asciiTheme="minorHAnsi" w:hAnsiTheme="minorHAnsi" w:cstheme="minorHAnsi"/>
          <w:sz w:val="22"/>
          <w:szCs w:val="22"/>
          <w:lang w:val="en-US"/>
        </w:rPr>
        <w:t xml:space="preserve">Through the distribution of cities into populations and regions inherent to them, we can see some specificities of the geographical locations where they are located, such as those located in the north and west of Goiás, where we </w:t>
      </w:r>
      <w:r w:rsidR="00516085" w:rsidRPr="00154F26">
        <w:rPr>
          <w:rFonts w:asciiTheme="minorHAnsi" w:hAnsiTheme="minorHAnsi" w:cstheme="minorHAnsi"/>
          <w:sz w:val="22"/>
          <w:szCs w:val="22"/>
          <w:lang w:val="en-US"/>
        </w:rPr>
        <w:t>see,</w:t>
      </w:r>
      <w:r w:rsidRPr="00154F26">
        <w:rPr>
          <w:rFonts w:asciiTheme="minorHAnsi" w:hAnsiTheme="minorHAnsi" w:cstheme="minorHAnsi"/>
          <w:sz w:val="22"/>
          <w:szCs w:val="22"/>
          <w:lang w:val="en-US"/>
        </w:rPr>
        <w:t xml:space="preserve"> a population drain compared to the rest of the poles distributed in the state context. </w:t>
      </w:r>
      <w:r w:rsidRPr="00516085">
        <w:rPr>
          <w:rFonts w:asciiTheme="minorHAnsi" w:hAnsiTheme="minorHAnsi" w:cstheme="minorHAnsi"/>
          <w:sz w:val="22"/>
          <w:szCs w:val="22"/>
          <w:lang w:val="en-US"/>
        </w:rPr>
        <w:t>Another question we can ask is the number of hubs characterized as “small cities”, according to the IBGE, where of the 32 cities considered regional hubs, 21 are small, which gives the character of a network of small cities that help other smaller or similar ones, given their geographical privileges, due to their location in the middle of the road network, distribution of services, income, leisure, and tourism.</w:t>
      </w:r>
    </w:p>
    <w:p w14:paraId="116D6BC9" w14:textId="30FE024C" w:rsidR="00154F26" w:rsidRPr="00516085" w:rsidRDefault="00154F26" w:rsidP="00154F26">
      <w:pPr>
        <w:spacing w:line="276" w:lineRule="auto"/>
        <w:ind w:firstLine="709"/>
        <w:jc w:val="both"/>
        <w:rPr>
          <w:rFonts w:asciiTheme="minorHAnsi" w:hAnsiTheme="minorHAnsi" w:cstheme="minorHAnsi"/>
          <w:sz w:val="22"/>
          <w:szCs w:val="22"/>
          <w:lang w:val="en-US"/>
        </w:rPr>
      </w:pPr>
      <w:r w:rsidRPr="00516085">
        <w:rPr>
          <w:rFonts w:asciiTheme="minorHAnsi" w:hAnsiTheme="minorHAnsi" w:cstheme="minorHAnsi"/>
          <w:sz w:val="22"/>
          <w:szCs w:val="22"/>
          <w:lang w:val="en-US"/>
        </w:rPr>
        <w:t xml:space="preserve">  The definition of a small city depends on the objectives of specialists and specific public policies. According to Motta and Mata (2009), demographic size has been the most widely applied criterion for identifying small cities, which can </w:t>
      </w:r>
      <w:r w:rsidR="00516085" w:rsidRPr="00516085">
        <w:rPr>
          <w:rFonts w:asciiTheme="minorHAnsi" w:hAnsiTheme="minorHAnsi" w:cstheme="minorHAnsi"/>
          <w:sz w:val="22"/>
          <w:szCs w:val="22"/>
          <w:lang w:val="en-US"/>
        </w:rPr>
        <w:t>be</w:t>
      </w:r>
      <w:r w:rsidRPr="00516085">
        <w:rPr>
          <w:rFonts w:asciiTheme="minorHAnsi" w:hAnsiTheme="minorHAnsi" w:cstheme="minorHAnsi"/>
          <w:sz w:val="22"/>
          <w:szCs w:val="22"/>
          <w:lang w:val="en-US"/>
        </w:rPr>
        <w:t xml:space="preserve"> those with a population of up to 100,000 inhabitants. In addition, Santos (1979) considers that demographic capacity should not be the determining analytical dimension, because by considering a minimum population, as the United Nations (UN) guides, to characterize the different types of cities, we incur the error of a dangerous and fruitless generalization to think of alternatives to unequal development. Endlich (2006) complements this argument by stating that the characterization and categorization of different human settlements is a comparative task of relational attributes (political, economic, geographical, and social). Thus, it is also necessary to consider the elements and variables of each city, since the dimensions and attributes that may be adequate to characterize a small city in one region of the country are insufficient or inadequate in the socio-cultural context of another region. </w:t>
      </w:r>
    </w:p>
    <w:p w14:paraId="7CBB6955" w14:textId="2DCCBC70" w:rsidR="006F593D" w:rsidRPr="00516085" w:rsidRDefault="00154F26" w:rsidP="00154F26">
      <w:pPr>
        <w:spacing w:line="276" w:lineRule="auto"/>
        <w:ind w:firstLine="709"/>
        <w:jc w:val="both"/>
        <w:rPr>
          <w:rFonts w:asciiTheme="minorHAnsi" w:hAnsiTheme="minorHAnsi" w:cstheme="minorHAnsi"/>
          <w:sz w:val="22"/>
          <w:szCs w:val="22"/>
          <w:lang w:val="en-US"/>
        </w:rPr>
      </w:pPr>
      <w:r w:rsidRPr="00516085">
        <w:rPr>
          <w:rFonts w:asciiTheme="minorHAnsi" w:hAnsiTheme="minorHAnsi" w:cstheme="minorHAnsi"/>
          <w:sz w:val="22"/>
          <w:szCs w:val="22"/>
          <w:lang w:val="en-US"/>
        </w:rPr>
        <w:t xml:space="preserve">  From the above, it can be concluded that there is a dialectical movement between forces of concentration and dispersion in the territory. This idea, defended by Santos (1979), who identifies and characterizes small towns as “local towns”, contributes to understanding how these towns benefit from the dispersed allocation of natural resources and industrial production, directly influenced by the widespread diffusion of consumption and information. For the author, the term “local cities” can be a more operational concept than the notion of small cities, as he believes that the city should not be based on its population size, which would cause theoretical confusion. In his words, the local city is the “minimum size at which </w:t>
      </w:r>
      <w:r w:rsidRPr="00516085">
        <w:rPr>
          <w:rFonts w:asciiTheme="minorHAnsi" w:hAnsiTheme="minorHAnsi" w:cstheme="minorHAnsi"/>
          <w:sz w:val="22"/>
          <w:szCs w:val="22"/>
          <w:lang w:val="en-US"/>
        </w:rPr>
        <w:lastRenderedPageBreak/>
        <w:t>agglomerations cease to serve the needs of primary activity and instead serve the unavoidable needs of the population” (Santos, 1979, p. 71).</w:t>
      </w:r>
    </w:p>
    <w:p w14:paraId="1811D8AE" w14:textId="77777777" w:rsidR="00154F26" w:rsidRPr="00516085" w:rsidRDefault="00154F26" w:rsidP="00154F26">
      <w:pPr>
        <w:spacing w:line="276" w:lineRule="auto"/>
        <w:ind w:firstLine="709"/>
        <w:jc w:val="both"/>
        <w:rPr>
          <w:rFonts w:asciiTheme="minorHAnsi" w:hAnsiTheme="minorHAnsi" w:cstheme="minorHAnsi"/>
          <w:sz w:val="20"/>
          <w:szCs w:val="20"/>
          <w:lang w:val="en-US"/>
        </w:rPr>
      </w:pPr>
    </w:p>
    <w:p w14:paraId="451FB964" w14:textId="1CA5B9C8" w:rsidR="006F593D" w:rsidRPr="00516085" w:rsidRDefault="006F593D" w:rsidP="006F593D">
      <w:pPr>
        <w:spacing w:line="276" w:lineRule="auto"/>
        <w:jc w:val="both"/>
        <w:rPr>
          <w:rFonts w:asciiTheme="minorHAnsi" w:hAnsiTheme="minorHAnsi" w:cstheme="minorHAnsi"/>
          <w:b/>
          <w:bCs/>
          <w:sz w:val="22"/>
          <w:szCs w:val="22"/>
          <w:lang w:val="en-US"/>
        </w:rPr>
      </w:pPr>
      <w:r w:rsidRPr="00516085">
        <w:rPr>
          <w:rFonts w:asciiTheme="minorHAnsi" w:hAnsiTheme="minorHAnsi" w:cstheme="minorHAnsi"/>
          <w:b/>
          <w:bCs/>
          <w:sz w:val="22"/>
          <w:szCs w:val="22"/>
          <w:lang w:val="en-US"/>
        </w:rPr>
        <w:t xml:space="preserve">4 </w:t>
      </w:r>
      <w:r w:rsidR="00516085" w:rsidRPr="00516085">
        <w:rPr>
          <w:rFonts w:asciiTheme="minorHAnsi" w:hAnsiTheme="minorHAnsi" w:cstheme="minorHAnsi"/>
          <w:b/>
          <w:bCs/>
          <w:sz w:val="22"/>
          <w:szCs w:val="22"/>
          <w:lang w:val="en-US"/>
        </w:rPr>
        <w:t>THE EFFECT OF POLARIZATION IN THE SOUTHERN REGION OF GOIÁS</w:t>
      </w:r>
    </w:p>
    <w:p w14:paraId="6F5904F2" w14:textId="77777777" w:rsidR="006F593D" w:rsidRPr="00516085" w:rsidRDefault="006F593D" w:rsidP="00C35E6F">
      <w:pPr>
        <w:spacing w:line="276" w:lineRule="auto"/>
        <w:rPr>
          <w:rFonts w:asciiTheme="minorHAnsi" w:hAnsiTheme="minorHAnsi" w:cstheme="minorHAnsi"/>
          <w:sz w:val="20"/>
          <w:szCs w:val="20"/>
          <w:lang w:val="en-US"/>
        </w:rPr>
      </w:pPr>
    </w:p>
    <w:p w14:paraId="40673DC8" w14:textId="522F9A9C" w:rsidR="006F593D" w:rsidRPr="00771965" w:rsidRDefault="00DB3707" w:rsidP="006F593D">
      <w:pPr>
        <w:spacing w:line="276" w:lineRule="auto"/>
        <w:ind w:firstLine="708"/>
        <w:jc w:val="both"/>
        <w:rPr>
          <w:rFonts w:asciiTheme="minorHAnsi" w:hAnsiTheme="minorHAnsi" w:cstheme="minorHAnsi"/>
          <w:sz w:val="22"/>
          <w:szCs w:val="22"/>
          <w:lang w:val="en-US"/>
        </w:rPr>
      </w:pPr>
      <w:r w:rsidRPr="00771965">
        <w:rPr>
          <w:rFonts w:asciiTheme="minorHAnsi" w:hAnsiTheme="minorHAnsi" w:cstheme="minorHAnsi"/>
          <w:sz w:val="22"/>
          <w:szCs w:val="22"/>
          <w:lang w:val="en-US"/>
        </w:rPr>
        <w:t xml:space="preserve">In order to highlight the main growth poles in Goiás, we tried to delve deeper into some of the regions of influence of the selected poles. After some discussions and in-depth research into the history, economy, and geography of some of the hubs, the southern region of Goiás was chosen, as we felt it was a region with rising growth and would provide us with interesting discussions. The pole cities of Caldas Novas, </w:t>
      </w:r>
      <w:proofErr w:type="spellStart"/>
      <w:r w:rsidRPr="00771965">
        <w:rPr>
          <w:rFonts w:asciiTheme="minorHAnsi" w:hAnsiTheme="minorHAnsi" w:cstheme="minorHAnsi"/>
          <w:sz w:val="22"/>
          <w:szCs w:val="22"/>
          <w:lang w:val="en-US"/>
        </w:rPr>
        <w:t>Catalão</w:t>
      </w:r>
      <w:proofErr w:type="spellEnd"/>
      <w:r w:rsidRPr="00771965">
        <w:rPr>
          <w:rFonts w:asciiTheme="minorHAnsi" w:hAnsiTheme="minorHAnsi" w:cstheme="minorHAnsi"/>
          <w:sz w:val="22"/>
          <w:szCs w:val="22"/>
          <w:lang w:val="en-US"/>
        </w:rPr>
        <w:t xml:space="preserve">, and </w:t>
      </w:r>
      <w:proofErr w:type="spellStart"/>
      <w:r w:rsidRPr="00771965">
        <w:rPr>
          <w:rFonts w:asciiTheme="minorHAnsi" w:hAnsiTheme="minorHAnsi" w:cstheme="minorHAnsi"/>
          <w:sz w:val="22"/>
          <w:szCs w:val="22"/>
          <w:lang w:val="en-US"/>
        </w:rPr>
        <w:t>Itumbiara</w:t>
      </w:r>
      <w:proofErr w:type="spellEnd"/>
      <w:r w:rsidRPr="00771965">
        <w:rPr>
          <w:rFonts w:asciiTheme="minorHAnsi" w:hAnsiTheme="minorHAnsi" w:cstheme="minorHAnsi"/>
          <w:sz w:val="22"/>
          <w:szCs w:val="22"/>
          <w:lang w:val="en-US"/>
        </w:rPr>
        <w:t xml:space="preserve"> are part of this selection, with demographic populations that match their size. In addition to the criteria presented above, the table of cities that offer the National High School Exam (ENEM) was also used as a definition, as the exam is not administered in all municipalities in Goiás. Thus, those where it is possible to take the exam are regional urban centralities. So, even though these cities are considered small, they strongly polarize the territories where they are located, acting essentially as growth poles, offering specialized services to regions of political and economic influence.</w:t>
      </w:r>
    </w:p>
    <w:p w14:paraId="32440C92" w14:textId="77777777" w:rsidR="00DB3707" w:rsidRPr="00771965" w:rsidRDefault="00DB3707" w:rsidP="006F593D">
      <w:pPr>
        <w:spacing w:line="276" w:lineRule="auto"/>
        <w:ind w:firstLine="708"/>
        <w:jc w:val="both"/>
        <w:rPr>
          <w:rFonts w:asciiTheme="minorHAnsi" w:hAnsiTheme="minorHAnsi" w:cstheme="minorHAnsi"/>
          <w:sz w:val="22"/>
          <w:szCs w:val="22"/>
          <w:lang w:val="en-US"/>
        </w:rPr>
      </w:pPr>
    </w:p>
    <w:p w14:paraId="6C816391" w14:textId="716431BE" w:rsidR="006F593D" w:rsidRPr="00771965" w:rsidRDefault="00771965" w:rsidP="006F593D">
      <w:pPr>
        <w:spacing w:line="276" w:lineRule="auto"/>
        <w:jc w:val="center"/>
        <w:rPr>
          <w:rFonts w:asciiTheme="minorHAnsi" w:hAnsiTheme="minorHAnsi" w:cstheme="minorHAnsi"/>
          <w:sz w:val="22"/>
          <w:szCs w:val="22"/>
          <w:lang w:val="en-US"/>
        </w:rPr>
      </w:pPr>
      <w:r w:rsidRPr="00771965">
        <w:rPr>
          <w:rFonts w:asciiTheme="minorHAnsi" w:hAnsiTheme="minorHAnsi" w:cstheme="minorHAnsi"/>
          <w:sz w:val="18"/>
          <w:szCs w:val="18"/>
          <w:lang w:val="en-US"/>
        </w:rPr>
        <w:t xml:space="preserve">Map 2 - </w:t>
      </w:r>
      <w:proofErr w:type="spellStart"/>
      <w:r w:rsidRPr="00771965">
        <w:rPr>
          <w:rFonts w:asciiTheme="minorHAnsi" w:hAnsiTheme="minorHAnsi" w:cstheme="minorHAnsi"/>
          <w:sz w:val="18"/>
          <w:szCs w:val="18"/>
          <w:lang w:val="en-US"/>
        </w:rPr>
        <w:t>Catalão</w:t>
      </w:r>
      <w:proofErr w:type="spellEnd"/>
      <w:r w:rsidRPr="00771965">
        <w:rPr>
          <w:rFonts w:asciiTheme="minorHAnsi" w:hAnsiTheme="minorHAnsi" w:cstheme="minorHAnsi"/>
          <w:sz w:val="18"/>
          <w:szCs w:val="18"/>
          <w:lang w:val="en-US"/>
        </w:rPr>
        <w:t xml:space="preserve"> growth pole and its region of influence</w:t>
      </w:r>
      <w:r w:rsidR="006F593D" w:rsidRPr="002F2AAC">
        <w:rPr>
          <w:rFonts w:asciiTheme="minorHAnsi" w:hAnsiTheme="minorHAnsi" w:cstheme="minorHAnsi"/>
          <w:noProof/>
          <w:sz w:val="22"/>
          <w:szCs w:val="22"/>
        </w:rPr>
        <w:drawing>
          <wp:inline distT="0" distB="0" distL="0" distR="0" wp14:anchorId="31556AA9" wp14:editId="34E9AC76">
            <wp:extent cx="4320000" cy="3999454"/>
            <wp:effectExtent l="0" t="0" r="4445" b="1270"/>
            <wp:docPr id="154558374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583742" name="Imagem 1545583742"/>
                    <pic:cNvPicPr/>
                  </pic:nvPicPr>
                  <pic:blipFill>
                    <a:blip r:embed="rId9">
                      <a:extLst>
                        <a:ext uri="{28A0092B-C50C-407E-A947-70E740481C1C}">
                          <a14:useLocalDpi xmlns:a14="http://schemas.microsoft.com/office/drawing/2010/main" val="0"/>
                        </a:ext>
                      </a:extLst>
                    </a:blip>
                    <a:stretch>
                      <a:fillRect/>
                    </a:stretch>
                  </pic:blipFill>
                  <pic:spPr>
                    <a:xfrm>
                      <a:off x="0" y="0"/>
                      <a:ext cx="4320000" cy="3999454"/>
                    </a:xfrm>
                    <a:prstGeom prst="rect">
                      <a:avLst/>
                    </a:prstGeom>
                  </pic:spPr>
                </pic:pic>
              </a:graphicData>
            </a:graphic>
          </wp:inline>
        </w:drawing>
      </w:r>
    </w:p>
    <w:p w14:paraId="30078A58" w14:textId="3FE85347" w:rsidR="006F593D" w:rsidRPr="00842B9D" w:rsidRDefault="00842B9D" w:rsidP="00AE34AE">
      <w:pPr>
        <w:spacing w:line="276" w:lineRule="auto"/>
        <w:jc w:val="center"/>
        <w:rPr>
          <w:rFonts w:asciiTheme="minorHAnsi" w:hAnsiTheme="minorHAnsi" w:cstheme="minorHAnsi"/>
          <w:sz w:val="18"/>
          <w:szCs w:val="18"/>
          <w:lang w:val="en-US"/>
        </w:rPr>
      </w:pPr>
      <w:r w:rsidRPr="00842B9D">
        <w:rPr>
          <w:rFonts w:asciiTheme="minorHAnsi" w:hAnsiTheme="minorHAnsi" w:cstheme="minorHAnsi"/>
          <w:sz w:val="18"/>
          <w:szCs w:val="18"/>
          <w:lang w:val="en-US"/>
        </w:rPr>
        <w:t>Source: Base map taken from the Google Maps platform (2024), modified by the authors (2024).</w:t>
      </w:r>
    </w:p>
    <w:p w14:paraId="0C6AA95E" w14:textId="77777777" w:rsidR="00842B9D" w:rsidRPr="00842B9D" w:rsidRDefault="00842B9D" w:rsidP="006F593D">
      <w:pPr>
        <w:spacing w:line="276" w:lineRule="auto"/>
        <w:rPr>
          <w:rFonts w:asciiTheme="minorHAnsi" w:hAnsiTheme="minorHAnsi" w:cstheme="minorHAnsi"/>
          <w:sz w:val="18"/>
          <w:szCs w:val="18"/>
          <w:lang w:val="en-US"/>
        </w:rPr>
      </w:pPr>
    </w:p>
    <w:p w14:paraId="45176A24" w14:textId="77777777" w:rsidR="006D064A" w:rsidRPr="00475F92" w:rsidRDefault="006D064A" w:rsidP="006D064A">
      <w:pPr>
        <w:spacing w:line="276" w:lineRule="auto"/>
        <w:ind w:firstLine="708"/>
        <w:jc w:val="both"/>
        <w:rPr>
          <w:rFonts w:asciiTheme="minorHAnsi" w:hAnsiTheme="minorHAnsi" w:cstheme="minorHAnsi"/>
          <w:sz w:val="22"/>
          <w:szCs w:val="22"/>
          <w:lang w:val="en-US"/>
        </w:rPr>
      </w:pPr>
      <w:r w:rsidRPr="00475F92">
        <w:rPr>
          <w:rFonts w:asciiTheme="minorHAnsi" w:hAnsiTheme="minorHAnsi" w:cstheme="minorHAnsi"/>
          <w:sz w:val="22"/>
          <w:szCs w:val="22"/>
          <w:lang w:val="en-US"/>
        </w:rPr>
        <w:t xml:space="preserve">Map 2 shows that the </w:t>
      </w:r>
      <w:proofErr w:type="spellStart"/>
      <w:r w:rsidRPr="00475F92">
        <w:rPr>
          <w:rFonts w:asciiTheme="minorHAnsi" w:hAnsiTheme="minorHAnsi" w:cstheme="minorHAnsi"/>
          <w:sz w:val="22"/>
          <w:szCs w:val="22"/>
          <w:lang w:val="en-US"/>
        </w:rPr>
        <w:t>Catalão</w:t>
      </w:r>
      <w:proofErr w:type="spellEnd"/>
      <w:r w:rsidRPr="00475F92">
        <w:rPr>
          <w:rFonts w:asciiTheme="minorHAnsi" w:hAnsiTheme="minorHAnsi" w:cstheme="minorHAnsi"/>
          <w:sz w:val="22"/>
          <w:szCs w:val="22"/>
          <w:lang w:val="en-US"/>
        </w:rPr>
        <w:t xml:space="preserve"> growth pole is surrounded by a network of 13 cities. Among these, </w:t>
      </w:r>
      <w:proofErr w:type="spellStart"/>
      <w:r w:rsidRPr="00475F92">
        <w:rPr>
          <w:rFonts w:asciiTheme="minorHAnsi" w:hAnsiTheme="minorHAnsi" w:cstheme="minorHAnsi"/>
          <w:sz w:val="22"/>
          <w:szCs w:val="22"/>
          <w:lang w:val="en-US"/>
        </w:rPr>
        <w:t>Araguari</w:t>
      </w:r>
      <w:proofErr w:type="spellEnd"/>
      <w:r w:rsidRPr="00475F92">
        <w:rPr>
          <w:rFonts w:asciiTheme="minorHAnsi" w:hAnsiTheme="minorHAnsi" w:cstheme="minorHAnsi"/>
          <w:sz w:val="22"/>
          <w:szCs w:val="22"/>
          <w:lang w:val="en-US"/>
        </w:rPr>
        <w:t xml:space="preserve"> occupies a complementary position in the territory, as it is similar in size and demographics to </w:t>
      </w:r>
      <w:proofErr w:type="spellStart"/>
      <w:r w:rsidRPr="00475F92">
        <w:rPr>
          <w:rFonts w:asciiTheme="minorHAnsi" w:hAnsiTheme="minorHAnsi" w:cstheme="minorHAnsi"/>
          <w:sz w:val="22"/>
          <w:szCs w:val="22"/>
          <w:lang w:val="en-US"/>
        </w:rPr>
        <w:t>Catalão</w:t>
      </w:r>
      <w:proofErr w:type="spellEnd"/>
      <w:r w:rsidRPr="00475F92">
        <w:rPr>
          <w:rFonts w:asciiTheme="minorHAnsi" w:hAnsiTheme="minorHAnsi" w:cstheme="minorHAnsi"/>
          <w:sz w:val="22"/>
          <w:szCs w:val="22"/>
          <w:lang w:val="en-US"/>
        </w:rPr>
        <w:t xml:space="preserve">, although they have different economic vocations. While </w:t>
      </w:r>
      <w:proofErr w:type="spellStart"/>
      <w:r w:rsidRPr="00475F92">
        <w:rPr>
          <w:rFonts w:asciiTheme="minorHAnsi" w:hAnsiTheme="minorHAnsi" w:cstheme="minorHAnsi"/>
          <w:sz w:val="22"/>
          <w:szCs w:val="22"/>
          <w:lang w:val="en-US"/>
        </w:rPr>
        <w:lastRenderedPageBreak/>
        <w:t>Araguari's</w:t>
      </w:r>
      <w:proofErr w:type="spellEnd"/>
      <w:r w:rsidRPr="00475F92">
        <w:rPr>
          <w:rFonts w:asciiTheme="minorHAnsi" w:hAnsiTheme="minorHAnsi" w:cstheme="minorHAnsi"/>
          <w:sz w:val="22"/>
          <w:szCs w:val="22"/>
          <w:lang w:val="en-US"/>
        </w:rPr>
        <w:t xml:space="preserve"> development was supported by the railroad (which runs as far as </w:t>
      </w:r>
      <w:proofErr w:type="spellStart"/>
      <w:r w:rsidRPr="00475F92">
        <w:rPr>
          <w:rFonts w:asciiTheme="minorHAnsi" w:hAnsiTheme="minorHAnsi" w:cstheme="minorHAnsi"/>
          <w:sz w:val="22"/>
          <w:szCs w:val="22"/>
          <w:lang w:val="en-US"/>
        </w:rPr>
        <w:t>Ipameri</w:t>
      </w:r>
      <w:proofErr w:type="spellEnd"/>
      <w:r w:rsidRPr="00475F92">
        <w:rPr>
          <w:rFonts w:asciiTheme="minorHAnsi" w:hAnsiTheme="minorHAnsi" w:cstheme="minorHAnsi"/>
          <w:sz w:val="22"/>
          <w:szCs w:val="22"/>
          <w:lang w:val="en-US"/>
        </w:rPr>
        <w:t xml:space="preserve">), </w:t>
      </w:r>
      <w:proofErr w:type="spellStart"/>
      <w:r w:rsidRPr="00475F92">
        <w:rPr>
          <w:rFonts w:asciiTheme="minorHAnsi" w:hAnsiTheme="minorHAnsi" w:cstheme="minorHAnsi"/>
          <w:sz w:val="22"/>
          <w:szCs w:val="22"/>
          <w:lang w:val="en-US"/>
        </w:rPr>
        <w:t>Catalão</w:t>
      </w:r>
      <w:proofErr w:type="spellEnd"/>
      <w:r w:rsidRPr="00475F92">
        <w:rPr>
          <w:rFonts w:asciiTheme="minorHAnsi" w:hAnsiTheme="minorHAnsi" w:cstheme="minorHAnsi"/>
          <w:sz w:val="22"/>
          <w:szCs w:val="22"/>
          <w:lang w:val="en-US"/>
        </w:rPr>
        <w:t xml:space="preserve"> remains outside the railroad circuit, turning its economy towards the industrial and mining sectors. </w:t>
      </w:r>
    </w:p>
    <w:p w14:paraId="19C964C4" w14:textId="023EF263" w:rsidR="006F593D" w:rsidRPr="00475F92" w:rsidRDefault="006D064A" w:rsidP="006D064A">
      <w:pPr>
        <w:spacing w:line="276" w:lineRule="auto"/>
        <w:ind w:firstLine="708"/>
        <w:jc w:val="both"/>
        <w:rPr>
          <w:rFonts w:asciiTheme="minorHAnsi" w:hAnsiTheme="minorHAnsi" w:cstheme="minorHAnsi"/>
          <w:sz w:val="22"/>
          <w:szCs w:val="22"/>
          <w:lang w:val="en-US"/>
        </w:rPr>
      </w:pPr>
      <w:r w:rsidRPr="00475F92">
        <w:rPr>
          <w:rFonts w:asciiTheme="minorHAnsi" w:hAnsiTheme="minorHAnsi" w:cstheme="minorHAnsi"/>
          <w:sz w:val="22"/>
          <w:szCs w:val="22"/>
          <w:lang w:val="en-US"/>
        </w:rPr>
        <w:t xml:space="preserve">The other small cities, except for </w:t>
      </w:r>
      <w:proofErr w:type="spellStart"/>
      <w:r w:rsidRPr="00475F92">
        <w:rPr>
          <w:rFonts w:asciiTheme="minorHAnsi" w:hAnsiTheme="minorHAnsi" w:cstheme="minorHAnsi"/>
          <w:sz w:val="22"/>
          <w:szCs w:val="22"/>
          <w:lang w:val="en-US"/>
        </w:rPr>
        <w:t>Ipameri</w:t>
      </w:r>
      <w:proofErr w:type="spellEnd"/>
      <w:r w:rsidRPr="00475F92">
        <w:rPr>
          <w:rFonts w:asciiTheme="minorHAnsi" w:hAnsiTheme="minorHAnsi" w:cstheme="minorHAnsi"/>
          <w:sz w:val="22"/>
          <w:szCs w:val="22"/>
          <w:lang w:val="en-US"/>
        </w:rPr>
        <w:t xml:space="preserve">, have fewer than 10,000 inhabitants, which further consolidates and distributes the polarization between </w:t>
      </w:r>
      <w:proofErr w:type="spellStart"/>
      <w:r w:rsidRPr="00475F92">
        <w:rPr>
          <w:rFonts w:asciiTheme="minorHAnsi" w:hAnsiTheme="minorHAnsi" w:cstheme="minorHAnsi"/>
          <w:sz w:val="22"/>
          <w:szCs w:val="22"/>
          <w:lang w:val="en-US"/>
        </w:rPr>
        <w:t>Catalão</w:t>
      </w:r>
      <w:proofErr w:type="spellEnd"/>
      <w:r w:rsidRPr="00475F92">
        <w:rPr>
          <w:rFonts w:asciiTheme="minorHAnsi" w:hAnsiTheme="minorHAnsi" w:cstheme="minorHAnsi"/>
          <w:sz w:val="22"/>
          <w:szCs w:val="22"/>
          <w:lang w:val="en-US"/>
        </w:rPr>
        <w:t xml:space="preserve"> and </w:t>
      </w:r>
      <w:proofErr w:type="spellStart"/>
      <w:r w:rsidRPr="00475F92">
        <w:rPr>
          <w:rFonts w:asciiTheme="minorHAnsi" w:hAnsiTheme="minorHAnsi" w:cstheme="minorHAnsi"/>
          <w:sz w:val="22"/>
          <w:szCs w:val="22"/>
          <w:lang w:val="en-US"/>
        </w:rPr>
        <w:t>Araguari</w:t>
      </w:r>
      <w:proofErr w:type="spellEnd"/>
      <w:r w:rsidRPr="00475F92">
        <w:rPr>
          <w:rFonts w:asciiTheme="minorHAnsi" w:hAnsiTheme="minorHAnsi" w:cstheme="minorHAnsi"/>
          <w:sz w:val="22"/>
          <w:szCs w:val="22"/>
          <w:lang w:val="en-US"/>
        </w:rPr>
        <w:t xml:space="preserve">. It's interesting to note that </w:t>
      </w:r>
      <w:proofErr w:type="spellStart"/>
      <w:r w:rsidRPr="00475F92">
        <w:rPr>
          <w:rFonts w:asciiTheme="minorHAnsi" w:hAnsiTheme="minorHAnsi" w:cstheme="minorHAnsi"/>
          <w:sz w:val="22"/>
          <w:szCs w:val="22"/>
          <w:lang w:val="en-US"/>
        </w:rPr>
        <w:t>Ipameri</w:t>
      </w:r>
      <w:proofErr w:type="spellEnd"/>
      <w:r w:rsidRPr="00475F92">
        <w:rPr>
          <w:rFonts w:asciiTheme="minorHAnsi" w:hAnsiTheme="minorHAnsi" w:cstheme="minorHAnsi"/>
          <w:sz w:val="22"/>
          <w:szCs w:val="22"/>
          <w:lang w:val="en-US"/>
        </w:rPr>
        <w:t xml:space="preserve"> and Nova Aurora </w:t>
      </w:r>
      <w:r w:rsidR="00475F92" w:rsidRPr="00475F92">
        <w:rPr>
          <w:rFonts w:asciiTheme="minorHAnsi" w:hAnsiTheme="minorHAnsi" w:cstheme="minorHAnsi"/>
          <w:sz w:val="22"/>
          <w:szCs w:val="22"/>
          <w:lang w:val="en-US"/>
        </w:rPr>
        <w:t>are in</w:t>
      </w:r>
      <w:r w:rsidRPr="00475F92">
        <w:rPr>
          <w:rFonts w:asciiTheme="minorHAnsi" w:hAnsiTheme="minorHAnsi" w:cstheme="minorHAnsi"/>
          <w:sz w:val="22"/>
          <w:szCs w:val="22"/>
          <w:lang w:val="en-US"/>
        </w:rPr>
        <w:t xml:space="preserve"> the context of two growth poles, towards both Caldas Novas (map 3) and </w:t>
      </w:r>
      <w:proofErr w:type="spellStart"/>
      <w:r w:rsidRPr="00475F92">
        <w:rPr>
          <w:rFonts w:asciiTheme="minorHAnsi" w:hAnsiTheme="minorHAnsi" w:cstheme="minorHAnsi"/>
          <w:sz w:val="22"/>
          <w:szCs w:val="22"/>
          <w:lang w:val="en-US"/>
        </w:rPr>
        <w:t>Catalão</w:t>
      </w:r>
      <w:proofErr w:type="spellEnd"/>
      <w:r w:rsidRPr="00475F92">
        <w:rPr>
          <w:rFonts w:asciiTheme="minorHAnsi" w:hAnsiTheme="minorHAnsi" w:cstheme="minorHAnsi"/>
          <w:sz w:val="22"/>
          <w:szCs w:val="22"/>
          <w:lang w:val="en-US"/>
        </w:rPr>
        <w:t xml:space="preserve"> (map 2).</w:t>
      </w:r>
    </w:p>
    <w:p w14:paraId="3DACEBC4" w14:textId="77777777" w:rsidR="00697FF1" w:rsidRPr="00475F92" w:rsidRDefault="00697FF1" w:rsidP="006D064A">
      <w:pPr>
        <w:spacing w:line="276" w:lineRule="auto"/>
        <w:ind w:firstLine="708"/>
        <w:jc w:val="both"/>
        <w:rPr>
          <w:rFonts w:asciiTheme="minorHAnsi" w:hAnsiTheme="minorHAnsi" w:cstheme="minorHAnsi"/>
          <w:sz w:val="22"/>
          <w:szCs w:val="22"/>
          <w:lang w:val="en-US"/>
        </w:rPr>
      </w:pPr>
    </w:p>
    <w:p w14:paraId="2791F4AA" w14:textId="77777777" w:rsidR="00475F92" w:rsidRDefault="00475F92" w:rsidP="006F593D">
      <w:pPr>
        <w:spacing w:line="276" w:lineRule="auto"/>
        <w:jc w:val="center"/>
        <w:rPr>
          <w:rFonts w:asciiTheme="minorHAnsi" w:hAnsiTheme="minorHAnsi" w:cstheme="minorHAnsi"/>
          <w:sz w:val="18"/>
          <w:szCs w:val="18"/>
          <w:lang w:val="en-US"/>
        </w:rPr>
      </w:pPr>
      <w:r w:rsidRPr="00475F92">
        <w:rPr>
          <w:rFonts w:asciiTheme="minorHAnsi" w:hAnsiTheme="minorHAnsi" w:cstheme="minorHAnsi"/>
          <w:sz w:val="18"/>
          <w:szCs w:val="18"/>
          <w:lang w:val="en-US"/>
        </w:rPr>
        <w:t>Map 3 - Caldas Novas growth pole and its region of influence</w:t>
      </w:r>
    </w:p>
    <w:p w14:paraId="1E675802" w14:textId="3BBEF38B" w:rsidR="006F593D" w:rsidRPr="00475F92" w:rsidRDefault="006F593D" w:rsidP="006F593D">
      <w:pPr>
        <w:spacing w:line="276" w:lineRule="auto"/>
        <w:jc w:val="center"/>
        <w:rPr>
          <w:rFonts w:asciiTheme="minorHAnsi" w:hAnsiTheme="minorHAnsi" w:cstheme="minorHAnsi"/>
          <w:sz w:val="22"/>
          <w:szCs w:val="22"/>
          <w:lang w:val="en-US"/>
        </w:rPr>
      </w:pPr>
      <w:r w:rsidRPr="002F2AAC">
        <w:rPr>
          <w:rFonts w:asciiTheme="minorHAnsi" w:hAnsiTheme="minorHAnsi" w:cstheme="minorHAnsi"/>
          <w:noProof/>
          <w:sz w:val="22"/>
          <w:szCs w:val="22"/>
        </w:rPr>
        <w:drawing>
          <wp:anchor distT="0" distB="0" distL="114300" distR="114300" simplePos="0" relativeHeight="251659264" behindDoc="1" locked="0" layoutInCell="1" allowOverlap="1" wp14:anchorId="5EF7F570" wp14:editId="19360208">
            <wp:simplePos x="0" y="0"/>
            <wp:positionH relativeFrom="margin">
              <wp:align>center</wp:align>
            </wp:positionH>
            <wp:positionV relativeFrom="paragraph">
              <wp:posOffset>8052</wp:posOffset>
            </wp:positionV>
            <wp:extent cx="4320000" cy="4592394"/>
            <wp:effectExtent l="0" t="0" r="4445" b="0"/>
            <wp:wrapTight wrapText="bothSides">
              <wp:wrapPolygon edited="0">
                <wp:start x="0" y="0"/>
                <wp:lineTo x="0" y="21504"/>
                <wp:lineTo x="21527" y="21504"/>
                <wp:lineTo x="21527" y="0"/>
                <wp:lineTo x="0" y="0"/>
              </wp:wrapPolygon>
            </wp:wrapTight>
            <wp:docPr id="9800927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92705" name="Imagem 980092705"/>
                    <pic:cNvPicPr/>
                  </pic:nvPicPr>
                  <pic:blipFill>
                    <a:blip r:embed="rId10">
                      <a:extLst>
                        <a:ext uri="{28A0092B-C50C-407E-A947-70E740481C1C}">
                          <a14:useLocalDpi xmlns:a14="http://schemas.microsoft.com/office/drawing/2010/main" val="0"/>
                        </a:ext>
                      </a:extLst>
                    </a:blip>
                    <a:stretch>
                      <a:fillRect/>
                    </a:stretch>
                  </pic:blipFill>
                  <pic:spPr>
                    <a:xfrm>
                      <a:off x="0" y="0"/>
                      <a:ext cx="4320000" cy="4592394"/>
                    </a:xfrm>
                    <a:prstGeom prst="rect">
                      <a:avLst/>
                    </a:prstGeom>
                  </pic:spPr>
                </pic:pic>
              </a:graphicData>
            </a:graphic>
            <wp14:sizeRelH relativeFrom="margin">
              <wp14:pctWidth>0</wp14:pctWidth>
            </wp14:sizeRelH>
            <wp14:sizeRelV relativeFrom="margin">
              <wp14:pctHeight>0</wp14:pctHeight>
            </wp14:sizeRelV>
          </wp:anchor>
        </w:drawing>
      </w:r>
    </w:p>
    <w:p w14:paraId="7DA7F520"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2F73D9DE"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0A79DC43"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0003BC2D"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2A56C8EA"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5E66862F"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1E36A430"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31457ED5"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521F9076"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1FF5EBF7"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386A2831"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5B94A1E3"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7013633E"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32D3434D"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6DC9AB86"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6CC6299D"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093768A5"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2DB6381E"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429396E3"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331060F3"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166425FE" w14:textId="77777777" w:rsidR="006F593D" w:rsidRPr="00475F92" w:rsidRDefault="006F593D" w:rsidP="006F593D">
      <w:pPr>
        <w:spacing w:line="276" w:lineRule="auto"/>
        <w:jc w:val="center"/>
        <w:rPr>
          <w:rFonts w:asciiTheme="minorHAnsi" w:hAnsiTheme="minorHAnsi" w:cstheme="minorHAnsi"/>
          <w:sz w:val="22"/>
          <w:szCs w:val="22"/>
          <w:lang w:val="en-US"/>
        </w:rPr>
      </w:pPr>
    </w:p>
    <w:p w14:paraId="33E4BEF1" w14:textId="77777777" w:rsidR="006F593D" w:rsidRPr="00475F92" w:rsidRDefault="006F593D" w:rsidP="006F593D">
      <w:pPr>
        <w:spacing w:line="276" w:lineRule="auto"/>
        <w:rPr>
          <w:rFonts w:asciiTheme="minorHAnsi" w:hAnsiTheme="minorHAnsi" w:cstheme="minorHAnsi"/>
          <w:sz w:val="22"/>
          <w:szCs w:val="22"/>
          <w:lang w:val="en-US"/>
        </w:rPr>
      </w:pPr>
    </w:p>
    <w:p w14:paraId="1E49DB37" w14:textId="77777777" w:rsidR="006F593D" w:rsidRPr="00475F92" w:rsidRDefault="006F593D" w:rsidP="006F593D">
      <w:pPr>
        <w:spacing w:line="276" w:lineRule="auto"/>
        <w:rPr>
          <w:rFonts w:asciiTheme="minorHAnsi" w:hAnsiTheme="minorHAnsi" w:cstheme="minorHAnsi"/>
          <w:sz w:val="22"/>
          <w:szCs w:val="22"/>
          <w:lang w:val="en-US"/>
        </w:rPr>
      </w:pPr>
    </w:p>
    <w:p w14:paraId="4CBF6E4E" w14:textId="5377F503" w:rsidR="002252D6" w:rsidRPr="00AE34AE" w:rsidRDefault="00AE34AE" w:rsidP="00AE34AE">
      <w:pPr>
        <w:spacing w:line="276" w:lineRule="auto"/>
        <w:jc w:val="center"/>
        <w:rPr>
          <w:rFonts w:asciiTheme="minorHAnsi" w:hAnsiTheme="minorHAnsi" w:cstheme="minorHAnsi"/>
          <w:sz w:val="18"/>
          <w:szCs w:val="18"/>
          <w:lang w:val="en-US"/>
        </w:rPr>
      </w:pPr>
      <w:r w:rsidRPr="00AE34AE">
        <w:rPr>
          <w:rFonts w:asciiTheme="minorHAnsi" w:hAnsiTheme="minorHAnsi" w:cstheme="minorHAnsi"/>
          <w:sz w:val="18"/>
          <w:szCs w:val="18"/>
          <w:lang w:val="en-US"/>
        </w:rPr>
        <w:t>Source: Base map taken from the Google Maps platform (2024), modified by the authors (2024).</w:t>
      </w:r>
    </w:p>
    <w:p w14:paraId="4B4F414A" w14:textId="77777777" w:rsidR="00AE34AE" w:rsidRPr="00AE34AE" w:rsidRDefault="00AE34AE" w:rsidP="002252D6">
      <w:pPr>
        <w:spacing w:line="276" w:lineRule="auto"/>
        <w:ind w:firstLine="708"/>
        <w:jc w:val="both"/>
        <w:rPr>
          <w:rFonts w:asciiTheme="minorHAnsi" w:hAnsiTheme="minorHAnsi" w:cstheme="minorHAnsi"/>
          <w:sz w:val="22"/>
          <w:szCs w:val="22"/>
          <w:lang w:val="en-US"/>
        </w:rPr>
      </w:pPr>
    </w:p>
    <w:p w14:paraId="37D89CDD" w14:textId="77777777" w:rsidR="008D2A78" w:rsidRPr="008D2A78" w:rsidRDefault="008D2A78" w:rsidP="008D2A78">
      <w:pPr>
        <w:spacing w:line="276" w:lineRule="auto"/>
        <w:ind w:firstLine="708"/>
        <w:jc w:val="both"/>
        <w:rPr>
          <w:rFonts w:asciiTheme="minorHAnsi" w:hAnsiTheme="minorHAnsi" w:cstheme="minorHAnsi"/>
          <w:sz w:val="22"/>
          <w:szCs w:val="22"/>
          <w:lang w:val="en-US"/>
        </w:rPr>
      </w:pPr>
      <w:r w:rsidRPr="008D2A78">
        <w:rPr>
          <w:rFonts w:asciiTheme="minorHAnsi" w:hAnsiTheme="minorHAnsi" w:cstheme="minorHAnsi"/>
          <w:sz w:val="22"/>
          <w:szCs w:val="22"/>
          <w:lang w:val="en-US"/>
        </w:rPr>
        <w:t xml:space="preserve">As a result of the incentives given to the tourist industry, Caldas Novas has witnessed a significant increase in its population, which in 1970 numbered 7,200 inhabitants; in the year 2000, it had 49,692 inhabitants; and in 2022, this figure had risen to 98,622 inhabitants. This sharp growth, in less than sixty years, can be explained by the migration of workers in search of opportunities in the large real estate developments, the resorts, clubs and water parks, the restaurants and fast-food outlets that keep springing up in the city center, and commerce in general. It's important to mention the displacement of businesspeople and specialized </w:t>
      </w:r>
      <w:r w:rsidRPr="008D2A78">
        <w:rPr>
          <w:rFonts w:asciiTheme="minorHAnsi" w:hAnsiTheme="minorHAnsi" w:cstheme="minorHAnsi"/>
          <w:sz w:val="22"/>
          <w:szCs w:val="22"/>
          <w:lang w:val="en-US"/>
        </w:rPr>
        <w:lastRenderedPageBreak/>
        <w:t>professionals from other regions of the country who come to the city for the growing investment in real estate, as described by Albuquerque (1996) and Belisário (2006).</w:t>
      </w:r>
    </w:p>
    <w:p w14:paraId="2E7E665B" w14:textId="2B0759AF" w:rsidR="002252D6" w:rsidRPr="004D774A" w:rsidRDefault="008D2A78" w:rsidP="008D2A78">
      <w:pPr>
        <w:spacing w:line="276" w:lineRule="auto"/>
        <w:ind w:firstLine="708"/>
        <w:jc w:val="both"/>
        <w:rPr>
          <w:rFonts w:asciiTheme="minorHAnsi" w:hAnsiTheme="minorHAnsi" w:cstheme="minorHAnsi"/>
          <w:sz w:val="22"/>
          <w:szCs w:val="22"/>
          <w:lang w:val="en-US"/>
        </w:rPr>
      </w:pPr>
      <w:r w:rsidRPr="004D774A">
        <w:rPr>
          <w:rFonts w:asciiTheme="minorHAnsi" w:hAnsiTheme="minorHAnsi" w:cstheme="minorHAnsi"/>
          <w:sz w:val="22"/>
          <w:szCs w:val="22"/>
          <w:lang w:val="en-US"/>
        </w:rPr>
        <w:t xml:space="preserve">As Map 3 shows, Caldas Novas is the central hub of a network of influences made up of 14 small towns located within a radius of 80 km from the hub. Of these, ten have fewer than 20,000 inhabitants. It can be seen in this context that Caldas Novas functions as a city-region, due to the work opportunities, services, and leisure options that it polarizes, with </w:t>
      </w:r>
      <w:r w:rsidR="00697FF1" w:rsidRPr="004D774A">
        <w:rPr>
          <w:rFonts w:asciiTheme="minorHAnsi" w:hAnsiTheme="minorHAnsi" w:cstheme="minorHAnsi"/>
          <w:sz w:val="22"/>
          <w:szCs w:val="22"/>
          <w:lang w:val="en-US"/>
        </w:rPr>
        <w:t>many</w:t>
      </w:r>
      <w:r w:rsidRPr="004D774A">
        <w:rPr>
          <w:rFonts w:asciiTheme="minorHAnsi" w:hAnsiTheme="minorHAnsi" w:cstheme="minorHAnsi"/>
          <w:sz w:val="22"/>
          <w:szCs w:val="22"/>
          <w:lang w:val="en-US"/>
        </w:rPr>
        <w:t xml:space="preserve"> people from neighboring cities making use of commuting daily. According to Santos (2005), the city-region can be defined by its urbanization process, with integrated elements through the increased flow of people, inputs, goods, and information, in a centripetal way in the territory.</w:t>
      </w:r>
    </w:p>
    <w:p w14:paraId="5072EBB4" w14:textId="77777777" w:rsidR="008D2A78" w:rsidRPr="004D774A" w:rsidRDefault="008D2A78" w:rsidP="008D2A78">
      <w:pPr>
        <w:spacing w:line="276" w:lineRule="auto"/>
        <w:ind w:firstLine="708"/>
        <w:jc w:val="both"/>
        <w:rPr>
          <w:rFonts w:asciiTheme="minorHAnsi" w:hAnsiTheme="minorHAnsi" w:cstheme="minorHAnsi"/>
          <w:sz w:val="22"/>
          <w:szCs w:val="22"/>
          <w:lang w:val="en-US"/>
        </w:rPr>
      </w:pPr>
    </w:p>
    <w:p w14:paraId="4E8D7993" w14:textId="5D99726B" w:rsidR="002252D6" w:rsidRPr="004D774A" w:rsidRDefault="004D774A" w:rsidP="002252D6">
      <w:pPr>
        <w:spacing w:line="276" w:lineRule="auto"/>
        <w:jc w:val="center"/>
        <w:rPr>
          <w:rFonts w:asciiTheme="minorHAnsi" w:hAnsiTheme="minorHAnsi" w:cstheme="minorHAnsi"/>
          <w:sz w:val="22"/>
          <w:szCs w:val="22"/>
          <w:lang w:val="en-US"/>
        </w:rPr>
      </w:pPr>
      <w:r w:rsidRPr="004D774A">
        <w:rPr>
          <w:rFonts w:asciiTheme="minorHAnsi" w:hAnsiTheme="minorHAnsi" w:cstheme="minorHAnsi"/>
          <w:sz w:val="18"/>
          <w:szCs w:val="18"/>
          <w:lang w:val="en-US"/>
        </w:rPr>
        <w:t xml:space="preserve">Map 4 - </w:t>
      </w:r>
      <w:proofErr w:type="spellStart"/>
      <w:r w:rsidRPr="004D774A">
        <w:rPr>
          <w:rFonts w:asciiTheme="minorHAnsi" w:hAnsiTheme="minorHAnsi" w:cstheme="minorHAnsi"/>
          <w:sz w:val="18"/>
          <w:szCs w:val="18"/>
          <w:lang w:val="en-US"/>
        </w:rPr>
        <w:t>Itumbiara</w:t>
      </w:r>
      <w:proofErr w:type="spellEnd"/>
      <w:r w:rsidRPr="004D774A">
        <w:rPr>
          <w:rFonts w:asciiTheme="minorHAnsi" w:hAnsiTheme="minorHAnsi" w:cstheme="minorHAnsi"/>
          <w:sz w:val="18"/>
          <w:szCs w:val="18"/>
          <w:lang w:val="en-US"/>
        </w:rPr>
        <w:t xml:space="preserve"> growth pole and its region of influence</w:t>
      </w:r>
      <w:r w:rsidR="002252D6" w:rsidRPr="002F2AAC">
        <w:rPr>
          <w:rFonts w:asciiTheme="minorHAnsi" w:hAnsiTheme="minorHAnsi" w:cstheme="minorHAnsi"/>
          <w:noProof/>
          <w:sz w:val="22"/>
          <w:szCs w:val="22"/>
        </w:rPr>
        <w:drawing>
          <wp:inline distT="0" distB="0" distL="0" distR="0" wp14:anchorId="0D65399C" wp14:editId="7F5FC5FF">
            <wp:extent cx="4320000" cy="4066508"/>
            <wp:effectExtent l="0" t="0" r="4445" b="0"/>
            <wp:docPr id="147605631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56319" name="Imagem 1476056319"/>
                    <pic:cNvPicPr/>
                  </pic:nvPicPr>
                  <pic:blipFill>
                    <a:blip r:embed="rId11">
                      <a:extLst>
                        <a:ext uri="{28A0092B-C50C-407E-A947-70E740481C1C}">
                          <a14:useLocalDpi xmlns:a14="http://schemas.microsoft.com/office/drawing/2010/main" val="0"/>
                        </a:ext>
                      </a:extLst>
                    </a:blip>
                    <a:stretch>
                      <a:fillRect/>
                    </a:stretch>
                  </pic:blipFill>
                  <pic:spPr>
                    <a:xfrm>
                      <a:off x="0" y="0"/>
                      <a:ext cx="4320000" cy="4066508"/>
                    </a:xfrm>
                    <a:prstGeom prst="rect">
                      <a:avLst/>
                    </a:prstGeom>
                  </pic:spPr>
                </pic:pic>
              </a:graphicData>
            </a:graphic>
          </wp:inline>
        </w:drawing>
      </w:r>
    </w:p>
    <w:p w14:paraId="42F6CDC0" w14:textId="71E97BD0" w:rsidR="002252D6" w:rsidRPr="004D774A" w:rsidRDefault="004D774A" w:rsidP="004D774A">
      <w:pPr>
        <w:spacing w:line="276" w:lineRule="auto"/>
        <w:jc w:val="center"/>
        <w:rPr>
          <w:rFonts w:asciiTheme="minorHAnsi" w:hAnsiTheme="minorHAnsi" w:cstheme="minorHAnsi"/>
          <w:sz w:val="18"/>
          <w:szCs w:val="18"/>
          <w:lang w:val="en-US"/>
        </w:rPr>
      </w:pPr>
      <w:r w:rsidRPr="004D774A">
        <w:rPr>
          <w:rFonts w:asciiTheme="minorHAnsi" w:hAnsiTheme="minorHAnsi" w:cstheme="minorHAnsi"/>
          <w:sz w:val="18"/>
          <w:szCs w:val="18"/>
          <w:lang w:val="en-US"/>
        </w:rPr>
        <w:t>Source: Base map taken from the Google Maps platform (2024), modified by the authors (2024).</w:t>
      </w:r>
    </w:p>
    <w:p w14:paraId="1D0ECA82" w14:textId="77777777" w:rsidR="004D774A" w:rsidRPr="004D774A" w:rsidRDefault="004D774A" w:rsidP="002252D6">
      <w:pPr>
        <w:spacing w:line="276" w:lineRule="auto"/>
        <w:rPr>
          <w:rFonts w:asciiTheme="minorHAnsi" w:hAnsiTheme="minorHAnsi" w:cstheme="minorHAnsi"/>
          <w:sz w:val="18"/>
          <w:szCs w:val="18"/>
          <w:lang w:val="en-US"/>
        </w:rPr>
      </w:pPr>
    </w:p>
    <w:p w14:paraId="5DAD42D7" w14:textId="77777777" w:rsidR="00CC57AE" w:rsidRPr="00CC57AE" w:rsidRDefault="00CC57AE" w:rsidP="00CC57AE">
      <w:pPr>
        <w:spacing w:line="276" w:lineRule="auto"/>
        <w:ind w:firstLine="709"/>
        <w:jc w:val="both"/>
        <w:rPr>
          <w:rFonts w:asciiTheme="minorHAnsi" w:hAnsiTheme="minorHAnsi" w:cstheme="minorHAnsi"/>
          <w:sz w:val="22"/>
          <w:szCs w:val="22"/>
          <w:lang w:val="en-US"/>
        </w:rPr>
      </w:pPr>
      <w:r w:rsidRPr="00CC57AE">
        <w:rPr>
          <w:rFonts w:asciiTheme="minorHAnsi" w:hAnsiTheme="minorHAnsi" w:cstheme="minorHAnsi"/>
          <w:sz w:val="22"/>
          <w:szCs w:val="22"/>
          <w:lang w:val="en-US"/>
        </w:rPr>
        <w:t xml:space="preserve">The </w:t>
      </w:r>
      <w:proofErr w:type="spellStart"/>
      <w:r w:rsidRPr="00CC57AE">
        <w:rPr>
          <w:rFonts w:asciiTheme="minorHAnsi" w:hAnsiTheme="minorHAnsi" w:cstheme="minorHAnsi"/>
          <w:sz w:val="22"/>
          <w:szCs w:val="22"/>
          <w:lang w:val="en-US"/>
        </w:rPr>
        <w:t>Itumbiara</w:t>
      </w:r>
      <w:proofErr w:type="spellEnd"/>
      <w:r w:rsidRPr="00CC57AE">
        <w:rPr>
          <w:rFonts w:asciiTheme="minorHAnsi" w:hAnsiTheme="minorHAnsi" w:cstheme="minorHAnsi"/>
          <w:sz w:val="22"/>
          <w:szCs w:val="22"/>
          <w:lang w:val="en-US"/>
        </w:rPr>
        <w:t xml:space="preserve"> hub (map 4) comprises 8 towns. Of these, two have between 20 and 40 thousand inhabitants, </w:t>
      </w:r>
      <w:proofErr w:type="spellStart"/>
      <w:r w:rsidRPr="00CC57AE">
        <w:rPr>
          <w:rFonts w:asciiTheme="minorHAnsi" w:hAnsiTheme="minorHAnsi" w:cstheme="minorHAnsi"/>
          <w:sz w:val="22"/>
          <w:szCs w:val="22"/>
          <w:lang w:val="en-US"/>
        </w:rPr>
        <w:t>Goiatuba</w:t>
      </w:r>
      <w:proofErr w:type="spellEnd"/>
      <w:r w:rsidRPr="00CC57AE">
        <w:rPr>
          <w:rFonts w:asciiTheme="minorHAnsi" w:hAnsiTheme="minorHAnsi" w:cstheme="minorHAnsi"/>
          <w:sz w:val="22"/>
          <w:szCs w:val="22"/>
          <w:lang w:val="en-US"/>
        </w:rPr>
        <w:t xml:space="preserve"> and Bom Jesus. The others are spread out, due to their geographical conditions, mainly influenced by the presence of the </w:t>
      </w:r>
      <w:proofErr w:type="spellStart"/>
      <w:r w:rsidRPr="00CC57AE">
        <w:rPr>
          <w:rFonts w:asciiTheme="minorHAnsi" w:hAnsiTheme="minorHAnsi" w:cstheme="minorHAnsi"/>
          <w:sz w:val="22"/>
          <w:szCs w:val="22"/>
          <w:lang w:val="en-US"/>
        </w:rPr>
        <w:t>Paranaíba</w:t>
      </w:r>
      <w:proofErr w:type="spellEnd"/>
      <w:r w:rsidRPr="00CC57AE">
        <w:rPr>
          <w:rFonts w:asciiTheme="minorHAnsi" w:hAnsiTheme="minorHAnsi" w:cstheme="minorHAnsi"/>
          <w:sz w:val="22"/>
          <w:szCs w:val="22"/>
          <w:lang w:val="en-US"/>
        </w:rPr>
        <w:t xml:space="preserve"> River, which also demarcates the border between Goiás and Minas Gerais. </w:t>
      </w:r>
    </w:p>
    <w:p w14:paraId="5AEA0A25" w14:textId="09450F4F" w:rsidR="00CC57AE" w:rsidRPr="00E42349" w:rsidRDefault="00CC57AE" w:rsidP="00CC57AE">
      <w:pPr>
        <w:spacing w:line="276" w:lineRule="auto"/>
        <w:ind w:firstLine="709"/>
        <w:jc w:val="both"/>
        <w:rPr>
          <w:rFonts w:asciiTheme="minorHAnsi" w:hAnsiTheme="minorHAnsi" w:cstheme="minorHAnsi"/>
          <w:sz w:val="22"/>
          <w:szCs w:val="22"/>
          <w:lang w:val="en-US"/>
        </w:rPr>
      </w:pPr>
      <w:r w:rsidRPr="00CC57AE">
        <w:rPr>
          <w:rFonts w:asciiTheme="minorHAnsi" w:hAnsiTheme="minorHAnsi" w:cstheme="minorHAnsi"/>
          <w:sz w:val="22"/>
          <w:szCs w:val="22"/>
          <w:lang w:val="en-US"/>
        </w:rPr>
        <w:t xml:space="preserve">According to Bezerra (2017), Patrick Geddes was at the forefront of using the term city-region, coining it at the beginning of the 20th century when he studied London and its role in the constitution of a region made up of towns, consolidated urban centers, and industrial centers. The cities he analyzed revealed the existence of a traditional consolidated urban center, which expanded radially towards its hinterland, on the edge of rural areas. </w:t>
      </w:r>
      <w:r w:rsidRPr="00E42349">
        <w:rPr>
          <w:rFonts w:asciiTheme="minorHAnsi" w:hAnsiTheme="minorHAnsi" w:cstheme="minorHAnsi"/>
          <w:sz w:val="22"/>
          <w:szCs w:val="22"/>
          <w:lang w:val="en-US"/>
        </w:rPr>
        <w:t xml:space="preserve">Bezerra (2017) complements the discussion by stating that city-regions constitute ruptures and continuities in </w:t>
      </w:r>
      <w:r w:rsidRPr="00E42349">
        <w:rPr>
          <w:rFonts w:asciiTheme="minorHAnsi" w:hAnsiTheme="minorHAnsi" w:cstheme="minorHAnsi"/>
          <w:sz w:val="22"/>
          <w:szCs w:val="22"/>
          <w:lang w:val="en-US"/>
        </w:rPr>
        <w:lastRenderedPageBreak/>
        <w:t>the process of formation of the cities and regions themselves, safeguarding the individual reality of each territory and that “to capture the meaning of these, it is necessary to better understand the nature of this phenomenon” (p.163).</w:t>
      </w:r>
    </w:p>
    <w:p w14:paraId="5F9417B0" w14:textId="3968F4A2" w:rsidR="00CC57AE" w:rsidRPr="00CC57AE" w:rsidRDefault="00CC57AE" w:rsidP="00CC57AE">
      <w:pPr>
        <w:spacing w:line="276" w:lineRule="auto"/>
        <w:ind w:firstLine="709"/>
        <w:jc w:val="both"/>
        <w:rPr>
          <w:rFonts w:asciiTheme="minorHAnsi" w:hAnsiTheme="minorHAnsi" w:cstheme="minorHAnsi"/>
          <w:sz w:val="22"/>
          <w:szCs w:val="22"/>
          <w:lang w:val="en-US"/>
        </w:rPr>
      </w:pPr>
      <w:r w:rsidRPr="00CC57AE">
        <w:rPr>
          <w:rFonts w:asciiTheme="minorHAnsi" w:hAnsiTheme="minorHAnsi" w:cstheme="minorHAnsi"/>
          <w:sz w:val="22"/>
          <w:szCs w:val="22"/>
          <w:lang w:val="en-US"/>
        </w:rPr>
        <w:t xml:space="preserve">It is therefore assumed that the city-region can take on a series of characterizations that distinguish it from the </w:t>
      </w:r>
      <w:proofErr w:type="spellStart"/>
      <w:r w:rsidRPr="00CC57AE">
        <w:rPr>
          <w:rFonts w:asciiTheme="minorHAnsi" w:hAnsiTheme="minorHAnsi" w:cstheme="minorHAnsi"/>
          <w:sz w:val="22"/>
          <w:szCs w:val="22"/>
          <w:lang w:val="en-US"/>
        </w:rPr>
        <w:t>conurbed</w:t>
      </w:r>
      <w:proofErr w:type="spellEnd"/>
      <w:r w:rsidRPr="00CC57AE">
        <w:rPr>
          <w:rFonts w:asciiTheme="minorHAnsi" w:hAnsiTheme="minorHAnsi" w:cstheme="minorHAnsi"/>
          <w:sz w:val="22"/>
          <w:szCs w:val="22"/>
          <w:lang w:val="en-US"/>
        </w:rPr>
        <w:t xml:space="preserve"> metropolis that gives rise to the metropolitan region. The city-region encompasses urban networks of different sizes and aspects, depending on their contexts and influences, as is the case with the city of Caldas Novas.</w:t>
      </w:r>
    </w:p>
    <w:p w14:paraId="4F5DAA81" w14:textId="77777777" w:rsidR="00CC57AE" w:rsidRPr="00E42349" w:rsidRDefault="00CC57AE" w:rsidP="00CC57AE">
      <w:pPr>
        <w:spacing w:line="276" w:lineRule="auto"/>
        <w:ind w:firstLine="709"/>
        <w:jc w:val="both"/>
        <w:rPr>
          <w:rFonts w:asciiTheme="minorHAnsi" w:hAnsiTheme="minorHAnsi" w:cstheme="minorHAnsi"/>
          <w:sz w:val="22"/>
          <w:szCs w:val="22"/>
          <w:lang w:val="en-US"/>
        </w:rPr>
      </w:pPr>
      <w:r w:rsidRPr="00E42349">
        <w:rPr>
          <w:rFonts w:asciiTheme="minorHAnsi" w:hAnsiTheme="minorHAnsi" w:cstheme="minorHAnsi"/>
          <w:sz w:val="22"/>
          <w:szCs w:val="22"/>
          <w:lang w:val="en-US"/>
        </w:rPr>
        <w:t>In his approach to space as a terrain for political practices, Michel Foucault (2008) analyses power based on strategies for understanding and organizing space throughout Western history, conceiving territory as a geographical notion, but even before that, a legal-political one. Therefore, “the creation and organization of space is not merely a passive process, since it relates directly to economic forces, but rather an object of power relations” (Freitas; Fiche, 2014, p. 102). Foucault (2013) argues that “allocation replaces extension, which in turn replaces location” (p. 114), which is somewhat similar to the study undertaken here through the growth poles, where allocation and its neighborhood relations say more about the territory than the positioning and size of the city itself, that is, that urban nucleus comes to be seen by its proximity to other neighboring cities or geographical elements, natural or not: roads, streams, mountains, etc. Simmel (1973) considered that the horizon of the modern city expanded in proportion to how the capacity to produce wealth developed.</w:t>
      </w:r>
    </w:p>
    <w:p w14:paraId="3B623928" w14:textId="57630276" w:rsidR="00087F75" w:rsidRPr="00E42349" w:rsidRDefault="00CC57AE" w:rsidP="00CC57AE">
      <w:pPr>
        <w:spacing w:line="276" w:lineRule="auto"/>
        <w:ind w:firstLine="709"/>
        <w:jc w:val="both"/>
        <w:rPr>
          <w:rFonts w:asciiTheme="minorHAnsi" w:hAnsiTheme="minorHAnsi" w:cstheme="minorHAnsi"/>
          <w:sz w:val="22"/>
          <w:szCs w:val="22"/>
          <w:lang w:val="en-US"/>
        </w:rPr>
      </w:pPr>
      <w:r w:rsidRPr="00E42349">
        <w:rPr>
          <w:rFonts w:asciiTheme="minorHAnsi" w:hAnsiTheme="minorHAnsi" w:cstheme="minorHAnsi"/>
          <w:sz w:val="22"/>
          <w:szCs w:val="22"/>
          <w:lang w:val="en-US"/>
        </w:rPr>
        <w:t xml:space="preserve">  Although the problem of allocation is presented in territorial studies in demographic terms (Foucault, 2013), it is broader: it consists of</w:t>
      </w:r>
    </w:p>
    <w:p w14:paraId="70E25A62" w14:textId="77777777" w:rsidR="00CC57AE" w:rsidRPr="00E42349" w:rsidRDefault="00CC57AE" w:rsidP="00CC57AE">
      <w:pPr>
        <w:spacing w:line="276" w:lineRule="auto"/>
        <w:jc w:val="both"/>
        <w:rPr>
          <w:rFonts w:asciiTheme="minorHAnsi" w:hAnsiTheme="minorHAnsi" w:cstheme="minorHAnsi"/>
          <w:sz w:val="22"/>
          <w:szCs w:val="22"/>
          <w:lang w:val="en-US"/>
        </w:rPr>
      </w:pPr>
    </w:p>
    <w:p w14:paraId="6523AA9E" w14:textId="2F9BED05" w:rsidR="00087F75" w:rsidRPr="00E42349" w:rsidRDefault="00E42349" w:rsidP="00087F75">
      <w:pPr>
        <w:ind w:left="2199"/>
        <w:jc w:val="both"/>
        <w:rPr>
          <w:rFonts w:asciiTheme="minorHAnsi" w:hAnsiTheme="minorHAnsi" w:cstheme="minorHAnsi"/>
          <w:sz w:val="22"/>
          <w:szCs w:val="22"/>
          <w:lang w:val="en-US"/>
        </w:rPr>
      </w:pPr>
      <w:r w:rsidRPr="00E42349">
        <w:rPr>
          <w:rFonts w:asciiTheme="minorHAnsi" w:hAnsiTheme="minorHAnsi" w:cstheme="minorHAnsi"/>
          <w:sz w:val="18"/>
          <w:szCs w:val="18"/>
          <w:lang w:val="en-US"/>
        </w:rPr>
        <w:t xml:space="preserve">to know which relations of neighborhood, which type of storage, circulation, identification, classification [...] should preferably be adopted, in this or that situation, to achieve this or that end: </w:t>
      </w:r>
      <w:r w:rsidRPr="00E42349">
        <w:rPr>
          <w:rFonts w:asciiTheme="minorHAnsi" w:hAnsiTheme="minorHAnsi" w:cstheme="minorHAnsi"/>
          <w:i/>
          <w:iCs/>
          <w:sz w:val="18"/>
          <w:szCs w:val="18"/>
          <w:lang w:val="en-US"/>
        </w:rPr>
        <w:t>we are in a time when space presents itself to us in the form of relations between allocations</w:t>
      </w:r>
      <w:r w:rsidRPr="00E42349">
        <w:rPr>
          <w:rFonts w:asciiTheme="minorHAnsi" w:hAnsiTheme="minorHAnsi" w:cstheme="minorHAnsi"/>
          <w:sz w:val="18"/>
          <w:szCs w:val="18"/>
          <w:lang w:val="en-US"/>
        </w:rPr>
        <w:t xml:space="preserve"> (Foucault, 2013, p.</w:t>
      </w:r>
      <w:r>
        <w:rPr>
          <w:rFonts w:asciiTheme="minorHAnsi" w:hAnsiTheme="minorHAnsi" w:cstheme="minorHAnsi"/>
          <w:sz w:val="18"/>
          <w:szCs w:val="18"/>
          <w:lang w:val="en-US"/>
        </w:rPr>
        <w:t xml:space="preserve"> </w:t>
      </w:r>
      <w:r w:rsidRPr="00E42349">
        <w:rPr>
          <w:rFonts w:asciiTheme="minorHAnsi" w:hAnsiTheme="minorHAnsi" w:cstheme="minorHAnsi"/>
          <w:sz w:val="18"/>
          <w:szCs w:val="18"/>
          <w:lang w:val="en-US"/>
        </w:rPr>
        <w:t>114).</w:t>
      </w:r>
    </w:p>
    <w:p w14:paraId="5CAC08D6" w14:textId="77777777" w:rsidR="00E42349" w:rsidRPr="00E42349" w:rsidRDefault="00E42349" w:rsidP="00087F75">
      <w:pPr>
        <w:spacing w:line="276" w:lineRule="auto"/>
        <w:ind w:firstLine="708"/>
        <w:jc w:val="both"/>
        <w:rPr>
          <w:rFonts w:asciiTheme="minorHAnsi" w:hAnsiTheme="minorHAnsi" w:cstheme="minorHAnsi"/>
          <w:sz w:val="22"/>
          <w:szCs w:val="22"/>
          <w:lang w:val="en-US"/>
        </w:rPr>
      </w:pPr>
    </w:p>
    <w:p w14:paraId="6E15272E" w14:textId="2F7E6B94" w:rsidR="00391861" w:rsidRPr="00391861" w:rsidRDefault="00391861" w:rsidP="00391861">
      <w:pPr>
        <w:spacing w:line="276" w:lineRule="auto"/>
        <w:ind w:firstLine="709"/>
        <w:jc w:val="both"/>
        <w:rPr>
          <w:rFonts w:asciiTheme="minorHAnsi" w:hAnsiTheme="minorHAnsi" w:cstheme="minorHAnsi"/>
          <w:sz w:val="22"/>
          <w:szCs w:val="22"/>
          <w:lang w:val="en-US"/>
        </w:rPr>
      </w:pPr>
      <w:r w:rsidRPr="00391861">
        <w:rPr>
          <w:rFonts w:asciiTheme="minorHAnsi" w:hAnsiTheme="minorHAnsi" w:cstheme="minorHAnsi"/>
          <w:sz w:val="22"/>
          <w:szCs w:val="22"/>
          <w:lang w:val="en-US"/>
        </w:rPr>
        <w:t xml:space="preserve">Foucault (2013) analyses how spaces reflect a hierarchical organization of the allocation of things, places and ideas in the territory, referring to the work of Gaston Bachelard, who considers that we do not live in an empty, homogeneous space in which individuals and things are allocated, but rather in a tangle of qualities, meanings and relationships (Freitas; Fiche, 2014). </w:t>
      </w:r>
      <w:r w:rsidR="00980C8C" w:rsidRPr="00391861">
        <w:rPr>
          <w:rFonts w:asciiTheme="minorHAnsi" w:hAnsiTheme="minorHAnsi" w:cstheme="minorHAnsi"/>
          <w:sz w:val="22"/>
          <w:szCs w:val="22"/>
          <w:lang w:val="en-US"/>
        </w:rPr>
        <w:t>Regarding</w:t>
      </w:r>
      <w:r w:rsidRPr="00391861">
        <w:rPr>
          <w:rFonts w:asciiTheme="minorHAnsi" w:hAnsiTheme="minorHAnsi" w:cstheme="minorHAnsi"/>
          <w:sz w:val="22"/>
          <w:szCs w:val="22"/>
          <w:lang w:val="en-US"/>
        </w:rPr>
        <w:t xml:space="preserve"> urban planning, </w:t>
      </w:r>
      <w:r w:rsidR="00870028" w:rsidRPr="00391861">
        <w:rPr>
          <w:rFonts w:asciiTheme="minorHAnsi" w:hAnsiTheme="minorHAnsi" w:cstheme="minorHAnsi"/>
          <w:sz w:val="22"/>
          <w:szCs w:val="22"/>
          <w:lang w:val="en-US"/>
        </w:rPr>
        <w:t>the</w:t>
      </w:r>
      <w:r w:rsidRPr="00391861">
        <w:rPr>
          <w:rFonts w:asciiTheme="minorHAnsi" w:hAnsiTheme="minorHAnsi" w:cstheme="minorHAnsi"/>
          <w:sz w:val="22"/>
          <w:szCs w:val="22"/>
          <w:lang w:val="en-US"/>
        </w:rPr>
        <w:t xml:space="preserve"> configuration of cities is not only related to the “relationship between the capital and the rest of the territory, but also to the internal details of these interconnected urban centers, which should not be based solely on symmetrical figures, since they are functionally dependent on certain asymmetries” (Freitas; Fiche, 2014, p. 95), in other words, the territory succumbs to an organization that justifies an analysis from the macro to the microcosm, since there are relationships between small and medium-sized cities that go beyond relations with the metropolises.</w:t>
      </w:r>
    </w:p>
    <w:p w14:paraId="3C8D0C3E" w14:textId="77777777" w:rsidR="00391861" w:rsidRPr="00391861" w:rsidRDefault="00391861" w:rsidP="00391861">
      <w:pPr>
        <w:spacing w:line="276" w:lineRule="auto"/>
        <w:jc w:val="both"/>
        <w:rPr>
          <w:rFonts w:asciiTheme="minorHAnsi" w:hAnsiTheme="minorHAnsi" w:cstheme="minorHAnsi"/>
          <w:sz w:val="22"/>
          <w:szCs w:val="22"/>
          <w:lang w:val="en-US"/>
        </w:rPr>
      </w:pPr>
    </w:p>
    <w:p w14:paraId="573A48B2" w14:textId="425C26FF" w:rsidR="008D20BF" w:rsidRPr="00980C8C" w:rsidRDefault="008D20BF" w:rsidP="008D20BF">
      <w:pPr>
        <w:spacing w:line="276" w:lineRule="auto"/>
        <w:rPr>
          <w:rFonts w:asciiTheme="minorHAnsi" w:hAnsiTheme="minorHAnsi" w:cstheme="minorHAnsi"/>
          <w:b/>
          <w:sz w:val="22"/>
          <w:szCs w:val="22"/>
          <w:lang w:val="en-US"/>
        </w:rPr>
      </w:pPr>
      <w:r w:rsidRPr="00980C8C">
        <w:rPr>
          <w:rFonts w:asciiTheme="minorHAnsi" w:hAnsiTheme="minorHAnsi" w:cstheme="minorHAnsi"/>
          <w:b/>
          <w:sz w:val="22"/>
          <w:szCs w:val="22"/>
          <w:lang w:val="en-US"/>
        </w:rPr>
        <w:t xml:space="preserve">5 </w:t>
      </w:r>
      <w:r w:rsidR="00870028" w:rsidRPr="00980C8C">
        <w:rPr>
          <w:rFonts w:asciiTheme="minorHAnsi" w:hAnsiTheme="minorHAnsi" w:cstheme="minorHAnsi"/>
          <w:b/>
          <w:sz w:val="22"/>
          <w:szCs w:val="22"/>
          <w:lang w:val="en-US"/>
        </w:rPr>
        <w:t>CONCLUSIONS</w:t>
      </w:r>
    </w:p>
    <w:p w14:paraId="1348136F" w14:textId="77777777" w:rsidR="008D20BF" w:rsidRPr="00980C8C" w:rsidRDefault="008D20BF" w:rsidP="008D20BF">
      <w:pPr>
        <w:spacing w:line="276" w:lineRule="auto"/>
        <w:jc w:val="both"/>
        <w:rPr>
          <w:rFonts w:asciiTheme="minorHAnsi" w:hAnsiTheme="minorHAnsi" w:cstheme="minorHAnsi"/>
          <w:sz w:val="22"/>
          <w:szCs w:val="22"/>
          <w:lang w:val="en-US"/>
        </w:rPr>
      </w:pPr>
    </w:p>
    <w:p w14:paraId="38C798DA" w14:textId="1D3444FA" w:rsidR="00302ADF" w:rsidRPr="00980C8C" w:rsidRDefault="00302ADF" w:rsidP="00302ADF">
      <w:pPr>
        <w:spacing w:line="276" w:lineRule="auto"/>
        <w:ind w:firstLine="709"/>
        <w:jc w:val="both"/>
        <w:rPr>
          <w:rFonts w:asciiTheme="minorHAnsi" w:hAnsiTheme="minorHAnsi" w:cstheme="minorHAnsi"/>
          <w:bCs/>
          <w:sz w:val="22"/>
          <w:szCs w:val="22"/>
          <w:lang w:val="en-US"/>
        </w:rPr>
      </w:pPr>
      <w:r w:rsidRPr="00980C8C">
        <w:rPr>
          <w:rFonts w:asciiTheme="minorHAnsi" w:hAnsiTheme="minorHAnsi" w:cstheme="minorHAnsi"/>
          <w:bCs/>
          <w:sz w:val="22"/>
          <w:szCs w:val="22"/>
          <w:lang w:val="en-US"/>
        </w:rPr>
        <w:t xml:space="preserve">The mapping of the growth poles in the regional context of Goiás shows a heterogeneous political and territorial framework, which cannot be established based on single criteria. Thus, the contribution of this work to urban studies is made to the extent that new </w:t>
      </w:r>
      <w:r w:rsidRPr="00980C8C">
        <w:rPr>
          <w:rFonts w:asciiTheme="minorHAnsi" w:hAnsiTheme="minorHAnsi" w:cstheme="minorHAnsi"/>
          <w:bCs/>
          <w:sz w:val="22"/>
          <w:szCs w:val="22"/>
          <w:lang w:val="en-US"/>
        </w:rPr>
        <w:lastRenderedPageBreak/>
        <w:t xml:space="preserve">agents of political influence in the territory are listed, </w:t>
      </w:r>
      <w:r w:rsidR="00697FF1" w:rsidRPr="00980C8C">
        <w:rPr>
          <w:rFonts w:asciiTheme="minorHAnsi" w:hAnsiTheme="minorHAnsi" w:cstheme="minorHAnsi"/>
          <w:bCs/>
          <w:sz w:val="22"/>
          <w:szCs w:val="22"/>
          <w:lang w:val="en-US"/>
        </w:rPr>
        <w:t>considering</w:t>
      </w:r>
      <w:r w:rsidRPr="00980C8C">
        <w:rPr>
          <w:rFonts w:asciiTheme="minorHAnsi" w:hAnsiTheme="minorHAnsi" w:cstheme="minorHAnsi"/>
          <w:bCs/>
          <w:sz w:val="22"/>
          <w:szCs w:val="22"/>
          <w:lang w:val="en-US"/>
        </w:rPr>
        <w:t xml:space="preserve"> the singularities of the social, geographical, and economic contexts. Highlighting the centralities that emerge from a network of regional influences goes beyond trade and the flow of people between cities, whether small, medium, or large. We therefore agree with </w:t>
      </w:r>
      <w:proofErr w:type="spellStart"/>
      <w:r w:rsidRPr="00980C8C">
        <w:rPr>
          <w:rFonts w:asciiTheme="minorHAnsi" w:hAnsiTheme="minorHAnsi" w:cstheme="minorHAnsi"/>
          <w:bCs/>
          <w:sz w:val="22"/>
          <w:szCs w:val="22"/>
          <w:lang w:val="en-US"/>
        </w:rPr>
        <w:t>Arrais</w:t>
      </w:r>
      <w:proofErr w:type="spellEnd"/>
      <w:r w:rsidRPr="00980C8C">
        <w:rPr>
          <w:rFonts w:asciiTheme="minorHAnsi" w:hAnsiTheme="minorHAnsi" w:cstheme="minorHAnsi"/>
          <w:bCs/>
          <w:sz w:val="22"/>
          <w:szCs w:val="22"/>
          <w:lang w:val="en-US"/>
        </w:rPr>
        <w:t xml:space="preserve"> (2008) in arguing that sets of interurban networks are structured outside metropolitan regions, constituting territorial complexes with specific proximity and segregation variables. </w:t>
      </w:r>
    </w:p>
    <w:p w14:paraId="5C3FA761" w14:textId="48BA5995" w:rsidR="00302ADF" w:rsidRPr="00980C8C" w:rsidRDefault="00302ADF" w:rsidP="00302ADF">
      <w:pPr>
        <w:spacing w:line="276" w:lineRule="auto"/>
        <w:ind w:firstLine="709"/>
        <w:jc w:val="both"/>
        <w:rPr>
          <w:rFonts w:asciiTheme="minorHAnsi" w:hAnsiTheme="minorHAnsi" w:cstheme="minorHAnsi"/>
          <w:bCs/>
          <w:sz w:val="22"/>
          <w:szCs w:val="22"/>
          <w:lang w:val="en-US"/>
        </w:rPr>
      </w:pPr>
      <w:r w:rsidRPr="00980C8C">
        <w:rPr>
          <w:rFonts w:asciiTheme="minorHAnsi" w:hAnsiTheme="minorHAnsi" w:cstheme="minorHAnsi"/>
          <w:bCs/>
          <w:sz w:val="22"/>
          <w:szCs w:val="22"/>
          <w:lang w:val="en-US"/>
        </w:rPr>
        <w:t>The theory of growth poles is an analytical strategy for urban conditions resulting from the influence of interurban networks in small towns, especially in the processes of urban expansion, the formation of centralities, and socio-spatial segregation. As Silva, Rippel, and Lima (2000) state, despite the criticism of this theory, some regional development policies, especially in the Northeast, Southeast, and South of Brazil, were built on its conceptual foundations, promoting a polarized development model from the 1960s onwards.</w:t>
      </w:r>
    </w:p>
    <w:p w14:paraId="11051952" w14:textId="300B8C2F" w:rsidR="00302ADF" w:rsidRPr="00980C8C" w:rsidRDefault="00302ADF" w:rsidP="00302ADF">
      <w:pPr>
        <w:spacing w:line="276" w:lineRule="auto"/>
        <w:ind w:firstLine="709"/>
        <w:jc w:val="both"/>
        <w:rPr>
          <w:rFonts w:asciiTheme="minorHAnsi" w:hAnsiTheme="minorHAnsi" w:cstheme="minorHAnsi"/>
          <w:bCs/>
          <w:sz w:val="22"/>
          <w:szCs w:val="22"/>
          <w:lang w:val="en-US"/>
        </w:rPr>
      </w:pPr>
      <w:r w:rsidRPr="00980C8C">
        <w:rPr>
          <w:rFonts w:asciiTheme="minorHAnsi" w:hAnsiTheme="minorHAnsi" w:cstheme="minorHAnsi"/>
          <w:bCs/>
          <w:sz w:val="22"/>
          <w:szCs w:val="22"/>
          <w:lang w:val="en-US"/>
        </w:rPr>
        <w:t xml:space="preserve">Understanding the dynamics of urban and territorial development, linked to the urban conditions of urban networks (which influence socio-spatial formations known as city-regions) points to new ways of thinking about small towns, from which opportunities emerge for multidimensional urban analysis: the role of urban form in structuring intra-urban and inter-urban socio-economic flows; the influences of city location on the economic, political and cultural transformations of city-regions; and the urban development policies undertaken by the various local and regional agents in these territories. A more in-depth study, on a closer geographical scale, of each of the hubs listed in the mapping carried out in this research could generate various reflections and numerous hypotheses on the question of geographical and demographic layout in the territory. </w:t>
      </w:r>
    </w:p>
    <w:p w14:paraId="7640D9EE" w14:textId="3E92AA39" w:rsidR="008D20BF" w:rsidRPr="00980C8C" w:rsidRDefault="00302ADF" w:rsidP="00302ADF">
      <w:pPr>
        <w:spacing w:line="276" w:lineRule="auto"/>
        <w:ind w:firstLine="709"/>
        <w:jc w:val="both"/>
        <w:rPr>
          <w:rFonts w:asciiTheme="minorHAnsi" w:hAnsiTheme="minorHAnsi" w:cstheme="minorHAnsi"/>
          <w:bCs/>
          <w:sz w:val="22"/>
          <w:szCs w:val="22"/>
          <w:lang w:val="en-US"/>
        </w:rPr>
      </w:pPr>
      <w:r w:rsidRPr="00980C8C">
        <w:rPr>
          <w:rFonts w:asciiTheme="minorHAnsi" w:hAnsiTheme="minorHAnsi" w:cstheme="minorHAnsi"/>
          <w:bCs/>
          <w:sz w:val="22"/>
          <w:szCs w:val="22"/>
          <w:lang w:val="en-US"/>
        </w:rPr>
        <w:t xml:space="preserve">It is therefore important to point out that the current urbanization process has several polarized units in its territory, with interpolations between centralities with different socio-spatial influences. Finally, on </w:t>
      </w:r>
      <w:r w:rsidR="00870028" w:rsidRPr="00980C8C">
        <w:rPr>
          <w:rFonts w:asciiTheme="minorHAnsi" w:hAnsiTheme="minorHAnsi" w:cstheme="minorHAnsi"/>
          <w:bCs/>
          <w:sz w:val="22"/>
          <w:szCs w:val="22"/>
          <w:lang w:val="en-US"/>
        </w:rPr>
        <w:t>a</w:t>
      </w:r>
      <w:r w:rsidRPr="00980C8C">
        <w:rPr>
          <w:rFonts w:asciiTheme="minorHAnsi" w:hAnsiTheme="minorHAnsi" w:cstheme="minorHAnsi"/>
          <w:bCs/>
          <w:sz w:val="22"/>
          <w:szCs w:val="22"/>
          <w:lang w:val="en-US"/>
        </w:rPr>
        <w:t xml:space="preserve"> need to understand the political-administrative connections between the hub cities, when it is necessary to consider the not always democratic relations between social practices and territories, paying particular attention to the urbanization process. Based on this assumption, we can understand the differences and mismatches between the process of the constitution of a given territory and the relative political importance of the cities.</w:t>
      </w:r>
    </w:p>
    <w:p w14:paraId="086C2B55" w14:textId="77777777" w:rsidR="00302ADF" w:rsidRPr="00980C8C" w:rsidRDefault="00302ADF" w:rsidP="00302ADF">
      <w:pPr>
        <w:spacing w:line="276" w:lineRule="auto"/>
        <w:jc w:val="both"/>
        <w:rPr>
          <w:rFonts w:asciiTheme="minorHAnsi" w:hAnsiTheme="minorHAnsi" w:cstheme="minorHAnsi"/>
          <w:bCs/>
          <w:sz w:val="22"/>
          <w:szCs w:val="22"/>
          <w:lang w:val="en-US"/>
        </w:rPr>
      </w:pPr>
    </w:p>
    <w:p w14:paraId="7ED410EF" w14:textId="02A2F4EE" w:rsidR="008D20BF" w:rsidRDefault="008D20BF" w:rsidP="00980C8C">
      <w:pPr>
        <w:spacing w:line="276" w:lineRule="auto"/>
        <w:rPr>
          <w:rFonts w:asciiTheme="minorHAnsi" w:hAnsiTheme="minorHAnsi" w:cstheme="minorHAnsi"/>
          <w:b/>
          <w:szCs w:val="20"/>
        </w:rPr>
      </w:pPr>
      <w:r>
        <w:rPr>
          <w:rFonts w:asciiTheme="minorHAnsi" w:hAnsiTheme="minorHAnsi" w:cstheme="minorHAnsi"/>
          <w:b/>
          <w:sz w:val="22"/>
          <w:szCs w:val="20"/>
        </w:rPr>
        <w:t xml:space="preserve">6 </w:t>
      </w:r>
      <w:r w:rsidR="00980C8C" w:rsidRPr="00980C8C">
        <w:rPr>
          <w:rFonts w:asciiTheme="minorHAnsi" w:hAnsiTheme="minorHAnsi" w:cstheme="minorHAnsi"/>
          <w:b/>
          <w:sz w:val="22"/>
          <w:szCs w:val="20"/>
        </w:rPr>
        <w:t>BIBLIOGRAPHIC REFERENCE</w:t>
      </w:r>
    </w:p>
    <w:p w14:paraId="49E3DF32" w14:textId="77777777" w:rsidR="00980C8C" w:rsidRDefault="00980C8C" w:rsidP="008D20BF">
      <w:pPr>
        <w:jc w:val="both"/>
        <w:rPr>
          <w:rFonts w:ascii="Calibri" w:hAnsi="Calibri" w:cs="Calibri"/>
          <w:sz w:val="18"/>
          <w:szCs w:val="18"/>
        </w:rPr>
      </w:pPr>
    </w:p>
    <w:p w14:paraId="289A8B3A" w14:textId="1C8F6260" w:rsidR="008D20BF" w:rsidRDefault="008D20BF" w:rsidP="008D20BF">
      <w:pPr>
        <w:jc w:val="both"/>
        <w:rPr>
          <w:rFonts w:ascii="Calibri" w:hAnsi="Calibri" w:cs="Calibri"/>
          <w:sz w:val="18"/>
          <w:szCs w:val="18"/>
        </w:rPr>
      </w:pPr>
      <w:r w:rsidRPr="006A2172">
        <w:rPr>
          <w:rFonts w:ascii="Calibri" w:hAnsi="Calibri" w:cs="Calibri"/>
          <w:sz w:val="18"/>
          <w:szCs w:val="18"/>
        </w:rPr>
        <w:t xml:space="preserve">ALBUQUERQUE, Carlos. </w:t>
      </w:r>
      <w:r w:rsidRPr="006A2172">
        <w:rPr>
          <w:rFonts w:ascii="Calibri" w:hAnsi="Calibri" w:cs="Calibri"/>
          <w:b/>
          <w:bCs/>
          <w:sz w:val="18"/>
          <w:szCs w:val="18"/>
        </w:rPr>
        <w:t>Caldas Novas</w:t>
      </w:r>
      <w:r w:rsidRPr="006A2172">
        <w:rPr>
          <w:rFonts w:ascii="Calibri" w:hAnsi="Calibri" w:cs="Calibri"/>
          <w:sz w:val="18"/>
          <w:szCs w:val="18"/>
        </w:rPr>
        <w:t xml:space="preserve">: Além das Águas Quentes. Caldas Novas: </w:t>
      </w:r>
      <w:proofErr w:type="spellStart"/>
      <w:r w:rsidR="00B45E61" w:rsidRPr="00B45E61">
        <w:rPr>
          <w:rFonts w:ascii="Calibri" w:hAnsi="Calibri" w:cs="Calibri"/>
          <w:sz w:val="18"/>
          <w:szCs w:val="18"/>
        </w:rPr>
        <w:t>Kelps</w:t>
      </w:r>
      <w:proofErr w:type="spellEnd"/>
      <w:r w:rsidR="00B45E61" w:rsidRPr="00B45E61">
        <w:rPr>
          <w:rFonts w:ascii="Calibri" w:hAnsi="Calibri" w:cs="Calibri"/>
          <w:sz w:val="18"/>
          <w:szCs w:val="18"/>
        </w:rPr>
        <w:t xml:space="preserve"> </w:t>
      </w:r>
      <w:proofErr w:type="spellStart"/>
      <w:r w:rsidR="00B45E61" w:rsidRPr="00B45E61">
        <w:rPr>
          <w:rFonts w:ascii="Calibri" w:hAnsi="Calibri" w:cs="Calibri"/>
          <w:sz w:val="18"/>
          <w:szCs w:val="18"/>
        </w:rPr>
        <w:t>Publishing</w:t>
      </w:r>
      <w:proofErr w:type="spellEnd"/>
      <w:r w:rsidRPr="006A2172">
        <w:rPr>
          <w:rFonts w:ascii="Calibri" w:hAnsi="Calibri" w:cs="Calibri"/>
          <w:sz w:val="18"/>
          <w:szCs w:val="18"/>
        </w:rPr>
        <w:t>, 1996.</w:t>
      </w:r>
    </w:p>
    <w:p w14:paraId="4BDBEF3C" w14:textId="77777777" w:rsidR="008D20BF" w:rsidRDefault="008D20BF" w:rsidP="008D20BF">
      <w:pPr>
        <w:jc w:val="both"/>
        <w:rPr>
          <w:rFonts w:ascii="Calibri" w:hAnsi="Calibri" w:cs="Calibri"/>
          <w:sz w:val="18"/>
          <w:szCs w:val="18"/>
        </w:rPr>
      </w:pPr>
    </w:p>
    <w:p w14:paraId="4F75AF5B"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ARRAIS, Tadeu Alencar. A cidade e a região/a cidade-região: reconhecer processos, construir políticas. </w:t>
      </w:r>
      <w:r w:rsidRPr="00626310">
        <w:rPr>
          <w:rFonts w:ascii="Calibri" w:hAnsi="Calibri" w:cs="Calibri"/>
          <w:b/>
          <w:sz w:val="18"/>
          <w:szCs w:val="18"/>
        </w:rPr>
        <w:t>Cadernos Metrópole</w:t>
      </w:r>
      <w:r w:rsidRPr="00626310">
        <w:rPr>
          <w:rFonts w:ascii="Calibri" w:hAnsi="Calibri" w:cs="Calibri"/>
          <w:bCs/>
          <w:sz w:val="18"/>
          <w:szCs w:val="18"/>
        </w:rPr>
        <w:t>. São Paulo, n.20, 2012.</w:t>
      </w:r>
    </w:p>
    <w:p w14:paraId="70D518BD" w14:textId="77777777" w:rsidR="008D20BF" w:rsidRDefault="008D20BF" w:rsidP="008D20BF">
      <w:pPr>
        <w:jc w:val="both"/>
        <w:rPr>
          <w:rFonts w:ascii="Calibri" w:hAnsi="Calibri" w:cs="Calibri"/>
          <w:bCs/>
          <w:sz w:val="18"/>
          <w:szCs w:val="18"/>
        </w:rPr>
      </w:pPr>
    </w:p>
    <w:p w14:paraId="3A22ECF7" w14:textId="77777777" w:rsidR="008D20BF" w:rsidRDefault="008D20BF" w:rsidP="008D20BF">
      <w:pPr>
        <w:jc w:val="both"/>
        <w:rPr>
          <w:rFonts w:ascii="Calibri" w:hAnsi="Calibri" w:cs="Calibri"/>
          <w:sz w:val="18"/>
          <w:szCs w:val="18"/>
        </w:rPr>
      </w:pPr>
      <w:r w:rsidRPr="006A2172">
        <w:rPr>
          <w:rFonts w:ascii="Calibri" w:hAnsi="Calibri" w:cs="Calibri"/>
          <w:sz w:val="18"/>
          <w:szCs w:val="18"/>
        </w:rPr>
        <w:t xml:space="preserve">BELISÁRIO, Alessandro Magno Damasceno. Fronteiras, frente pioneira e atividade turística em Caldas Novas - GO. </w:t>
      </w:r>
      <w:r w:rsidRPr="006A2172">
        <w:rPr>
          <w:rFonts w:ascii="Calibri" w:hAnsi="Calibri" w:cs="Calibri"/>
          <w:b/>
          <w:bCs/>
          <w:sz w:val="18"/>
          <w:szCs w:val="18"/>
        </w:rPr>
        <w:t>Caminhos de Geografia</w:t>
      </w:r>
      <w:r w:rsidRPr="006A2172">
        <w:rPr>
          <w:rFonts w:ascii="Calibri" w:hAnsi="Calibri" w:cs="Calibri"/>
          <w:sz w:val="18"/>
          <w:szCs w:val="18"/>
        </w:rPr>
        <w:t>. Uberlândia, v.7, n.17, 2006. p.123-128.</w:t>
      </w:r>
    </w:p>
    <w:p w14:paraId="68E9A58E" w14:textId="77777777" w:rsidR="008D20BF" w:rsidRDefault="008D20BF" w:rsidP="008D20BF">
      <w:pPr>
        <w:jc w:val="both"/>
        <w:rPr>
          <w:rFonts w:ascii="Calibri" w:hAnsi="Calibri" w:cs="Calibri"/>
          <w:sz w:val="18"/>
          <w:szCs w:val="18"/>
        </w:rPr>
      </w:pPr>
    </w:p>
    <w:p w14:paraId="66813304" w14:textId="6476E8E5" w:rsidR="008D20BF" w:rsidRPr="006A2172" w:rsidRDefault="008D20BF" w:rsidP="008D20BF">
      <w:pPr>
        <w:jc w:val="both"/>
        <w:rPr>
          <w:rFonts w:ascii="Calibri" w:hAnsi="Calibri" w:cs="Calibri"/>
          <w:sz w:val="18"/>
          <w:szCs w:val="18"/>
        </w:rPr>
      </w:pPr>
      <w:r w:rsidRPr="006E2BC2">
        <w:rPr>
          <w:rFonts w:ascii="Calibri" w:hAnsi="Calibri" w:cs="Calibri"/>
          <w:sz w:val="18"/>
          <w:szCs w:val="18"/>
        </w:rPr>
        <w:t xml:space="preserve">BENKO, Georges. </w:t>
      </w:r>
      <w:r w:rsidRPr="006E2BC2">
        <w:rPr>
          <w:rFonts w:ascii="Calibri" w:hAnsi="Calibri" w:cs="Calibri"/>
          <w:b/>
          <w:bCs/>
          <w:sz w:val="18"/>
          <w:szCs w:val="18"/>
        </w:rPr>
        <w:t>Economia Espaço e Globalização na aurora do século XXI</w:t>
      </w:r>
      <w:r w:rsidRPr="006E2BC2">
        <w:rPr>
          <w:rFonts w:ascii="Calibri" w:hAnsi="Calibri" w:cs="Calibri"/>
          <w:sz w:val="18"/>
          <w:szCs w:val="18"/>
        </w:rPr>
        <w:t>.</w:t>
      </w:r>
      <w:r>
        <w:rPr>
          <w:rFonts w:ascii="Calibri" w:hAnsi="Calibri" w:cs="Calibri"/>
          <w:sz w:val="18"/>
          <w:szCs w:val="18"/>
        </w:rPr>
        <w:t xml:space="preserve"> </w:t>
      </w:r>
      <w:r w:rsidR="00B45E61" w:rsidRPr="00B45E61">
        <w:rPr>
          <w:rFonts w:ascii="Calibri" w:hAnsi="Calibri" w:cs="Calibri"/>
          <w:sz w:val="18"/>
          <w:szCs w:val="18"/>
        </w:rPr>
        <w:t xml:space="preserve">São Paulo: Hucitec </w:t>
      </w:r>
      <w:proofErr w:type="spellStart"/>
      <w:r w:rsidR="00B45E61" w:rsidRPr="00B45E61">
        <w:rPr>
          <w:rFonts w:ascii="Calibri" w:hAnsi="Calibri" w:cs="Calibri"/>
          <w:sz w:val="18"/>
          <w:szCs w:val="18"/>
        </w:rPr>
        <w:t>Publishing</w:t>
      </w:r>
      <w:proofErr w:type="spellEnd"/>
      <w:r w:rsidRPr="006E2BC2">
        <w:rPr>
          <w:rFonts w:ascii="Calibri" w:hAnsi="Calibri" w:cs="Calibri"/>
          <w:sz w:val="18"/>
          <w:szCs w:val="18"/>
        </w:rPr>
        <w:t>, 1996.</w:t>
      </w:r>
    </w:p>
    <w:p w14:paraId="058F1904" w14:textId="77777777" w:rsidR="008D20BF" w:rsidRPr="00626310" w:rsidRDefault="008D20BF" w:rsidP="008D20BF">
      <w:pPr>
        <w:jc w:val="both"/>
        <w:rPr>
          <w:rFonts w:ascii="Calibri" w:hAnsi="Calibri" w:cs="Calibri"/>
          <w:bCs/>
          <w:sz w:val="18"/>
          <w:szCs w:val="18"/>
        </w:rPr>
      </w:pPr>
    </w:p>
    <w:p w14:paraId="5DBF6BE5"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BEZERRA, Josué Alencar. A cidade-região sob as coexistências do território. </w:t>
      </w:r>
      <w:r w:rsidRPr="00626310">
        <w:rPr>
          <w:rFonts w:ascii="Calibri" w:hAnsi="Calibri" w:cs="Calibri"/>
          <w:b/>
          <w:sz w:val="18"/>
          <w:szCs w:val="18"/>
        </w:rPr>
        <w:t>Boletim Goiano de Geografia</w:t>
      </w:r>
      <w:r w:rsidRPr="00626310">
        <w:rPr>
          <w:rFonts w:ascii="Calibri" w:hAnsi="Calibri" w:cs="Calibri"/>
          <w:bCs/>
          <w:sz w:val="18"/>
          <w:szCs w:val="18"/>
        </w:rPr>
        <w:t>. Goiânia, v.37, n.2, 2017.</w:t>
      </w:r>
    </w:p>
    <w:p w14:paraId="139B07EF" w14:textId="77777777" w:rsidR="008D20BF" w:rsidRPr="00626310" w:rsidRDefault="008D20BF" w:rsidP="008D20BF">
      <w:pPr>
        <w:jc w:val="both"/>
        <w:rPr>
          <w:rFonts w:ascii="Calibri" w:hAnsi="Calibri" w:cs="Calibri"/>
          <w:bCs/>
          <w:sz w:val="18"/>
          <w:szCs w:val="18"/>
        </w:rPr>
      </w:pPr>
    </w:p>
    <w:p w14:paraId="3D8C2A33" w14:textId="09BB9C80" w:rsidR="008D20BF" w:rsidRPr="00B44ACE" w:rsidRDefault="008D20BF" w:rsidP="008D20BF">
      <w:pPr>
        <w:jc w:val="both"/>
        <w:rPr>
          <w:rFonts w:ascii="Calibri" w:hAnsi="Calibri" w:cs="Calibri"/>
          <w:bCs/>
          <w:sz w:val="18"/>
          <w:szCs w:val="18"/>
          <w:lang w:val="en-US"/>
        </w:rPr>
      </w:pPr>
      <w:r w:rsidRPr="00626310">
        <w:rPr>
          <w:rFonts w:ascii="Calibri" w:hAnsi="Calibri" w:cs="Calibri"/>
          <w:bCs/>
          <w:sz w:val="18"/>
          <w:szCs w:val="18"/>
        </w:rPr>
        <w:t>BRASIL</w:t>
      </w:r>
      <w:r w:rsidR="00616235">
        <w:rPr>
          <w:rFonts w:ascii="Calibri" w:hAnsi="Calibri" w:cs="Calibri"/>
          <w:bCs/>
          <w:sz w:val="18"/>
          <w:szCs w:val="18"/>
        </w:rPr>
        <w:t>.</w:t>
      </w:r>
      <w:r w:rsidRPr="00626310">
        <w:rPr>
          <w:rFonts w:ascii="Calibri" w:hAnsi="Calibri" w:cs="Calibri"/>
          <w:bCs/>
          <w:sz w:val="18"/>
          <w:szCs w:val="18"/>
        </w:rPr>
        <w:t xml:space="preserve"> </w:t>
      </w:r>
      <w:r w:rsidR="00616235" w:rsidRPr="00F9496E">
        <w:rPr>
          <w:rFonts w:ascii="Calibri" w:hAnsi="Calibri" w:cs="Calibri"/>
          <w:bCs/>
          <w:sz w:val="18"/>
          <w:szCs w:val="18"/>
        </w:rPr>
        <w:t xml:space="preserve">Brazilian Institute of Geography and Statistics </w:t>
      </w:r>
      <w:r w:rsidRPr="00F9496E">
        <w:rPr>
          <w:rFonts w:ascii="Calibri" w:hAnsi="Calibri" w:cs="Calibri"/>
          <w:bCs/>
          <w:sz w:val="18"/>
          <w:szCs w:val="18"/>
        </w:rPr>
        <w:t xml:space="preserve">(IBGE). </w:t>
      </w:r>
      <w:r w:rsidRPr="00F9496E">
        <w:rPr>
          <w:rFonts w:ascii="Calibri" w:hAnsi="Calibri" w:cs="Calibri"/>
          <w:b/>
          <w:sz w:val="18"/>
          <w:szCs w:val="18"/>
        </w:rPr>
        <w:t>Censo Demográfico</w:t>
      </w:r>
      <w:r w:rsidRPr="00F9496E">
        <w:rPr>
          <w:rFonts w:ascii="Calibri" w:hAnsi="Calibri" w:cs="Calibri"/>
          <w:bCs/>
          <w:sz w:val="18"/>
          <w:szCs w:val="18"/>
        </w:rPr>
        <w:t xml:space="preserve">. </w:t>
      </w:r>
      <w:r w:rsidRPr="003741A2">
        <w:rPr>
          <w:rFonts w:ascii="Calibri" w:hAnsi="Calibri" w:cs="Calibri"/>
          <w:bCs/>
          <w:sz w:val="18"/>
          <w:szCs w:val="18"/>
          <w:lang w:val="en-US"/>
        </w:rPr>
        <w:t xml:space="preserve">2022. </w:t>
      </w:r>
      <w:r w:rsidR="00616235" w:rsidRPr="00B44ACE">
        <w:rPr>
          <w:rFonts w:ascii="Calibri" w:hAnsi="Calibri" w:cs="Calibri"/>
          <w:bCs/>
          <w:sz w:val="18"/>
          <w:szCs w:val="18"/>
          <w:lang w:val="en-US"/>
        </w:rPr>
        <w:t xml:space="preserve">Available at: </w:t>
      </w:r>
      <w:r w:rsidR="00B44ACE" w:rsidRPr="00B44ACE">
        <w:rPr>
          <w:rFonts w:ascii="Calibri" w:hAnsi="Calibri" w:cs="Calibri"/>
          <w:bCs/>
          <w:sz w:val="18"/>
          <w:szCs w:val="18"/>
          <w:lang w:val="en-US"/>
        </w:rPr>
        <w:t>https://www.ibge.gov.br/estatisticas/sociais/trabalho/22827-censo-demografico-2022.html</w:t>
      </w:r>
      <w:r w:rsidR="00B44ACE">
        <w:rPr>
          <w:rFonts w:ascii="Calibri" w:hAnsi="Calibri" w:cs="Calibri"/>
          <w:bCs/>
          <w:sz w:val="18"/>
          <w:szCs w:val="18"/>
          <w:lang w:val="en-US"/>
        </w:rPr>
        <w:t>.</w:t>
      </w:r>
      <w:r w:rsidR="00616235" w:rsidRPr="00B44ACE">
        <w:rPr>
          <w:rFonts w:ascii="Calibri" w:hAnsi="Calibri" w:cs="Calibri"/>
          <w:bCs/>
          <w:sz w:val="18"/>
          <w:szCs w:val="18"/>
          <w:lang w:val="en-US"/>
        </w:rPr>
        <w:t xml:space="preserve"> </w:t>
      </w:r>
      <w:r w:rsidR="00A85968" w:rsidRPr="00B44ACE">
        <w:rPr>
          <w:rFonts w:ascii="Calibri" w:hAnsi="Calibri" w:cs="Calibri"/>
          <w:bCs/>
          <w:sz w:val="18"/>
          <w:szCs w:val="18"/>
          <w:lang w:val="en-US"/>
        </w:rPr>
        <w:t xml:space="preserve">Accessed at:  </w:t>
      </w:r>
      <w:r w:rsidRPr="00B44ACE">
        <w:rPr>
          <w:rFonts w:ascii="Calibri" w:hAnsi="Calibri" w:cs="Calibri"/>
          <w:bCs/>
          <w:sz w:val="18"/>
          <w:szCs w:val="18"/>
          <w:lang w:val="en-US"/>
        </w:rPr>
        <w:t>23 o</w:t>
      </w:r>
      <w:r w:rsidR="00A85968" w:rsidRPr="00B44ACE">
        <w:rPr>
          <w:rFonts w:ascii="Calibri" w:hAnsi="Calibri" w:cs="Calibri"/>
          <w:bCs/>
          <w:sz w:val="18"/>
          <w:szCs w:val="18"/>
          <w:lang w:val="en-US"/>
        </w:rPr>
        <w:t>c</w:t>
      </w:r>
      <w:r w:rsidRPr="00B44ACE">
        <w:rPr>
          <w:rFonts w:ascii="Calibri" w:hAnsi="Calibri" w:cs="Calibri"/>
          <w:bCs/>
          <w:sz w:val="18"/>
          <w:szCs w:val="18"/>
          <w:lang w:val="en-US"/>
        </w:rPr>
        <w:t>t. 2023.</w:t>
      </w:r>
    </w:p>
    <w:p w14:paraId="453BC037" w14:textId="77777777" w:rsidR="008D20BF" w:rsidRPr="00B44ACE" w:rsidRDefault="008D20BF" w:rsidP="008D20BF">
      <w:pPr>
        <w:jc w:val="both"/>
        <w:rPr>
          <w:rFonts w:ascii="Calibri" w:hAnsi="Calibri" w:cs="Calibri"/>
          <w:bCs/>
          <w:sz w:val="18"/>
          <w:szCs w:val="18"/>
          <w:lang w:val="en-US"/>
        </w:rPr>
      </w:pPr>
    </w:p>
    <w:p w14:paraId="2049E815" w14:textId="433FA078" w:rsidR="008D20BF" w:rsidRPr="003741A2" w:rsidRDefault="008D20BF" w:rsidP="008D20BF">
      <w:pPr>
        <w:jc w:val="both"/>
        <w:rPr>
          <w:rFonts w:ascii="Calibri" w:hAnsi="Calibri" w:cs="Calibri"/>
          <w:bCs/>
          <w:sz w:val="18"/>
          <w:szCs w:val="18"/>
        </w:rPr>
      </w:pPr>
      <w:r w:rsidRPr="00626310">
        <w:rPr>
          <w:rFonts w:ascii="Calibri" w:hAnsi="Calibri" w:cs="Calibri"/>
          <w:bCs/>
          <w:sz w:val="18"/>
          <w:szCs w:val="18"/>
        </w:rPr>
        <w:t xml:space="preserve">ENDLICH, Ângela Maria. </w:t>
      </w:r>
      <w:r w:rsidRPr="00626310">
        <w:rPr>
          <w:rFonts w:ascii="Calibri" w:hAnsi="Calibri" w:cs="Calibri"/>
          <w:b/>
          <w:sz w:val="18"/>
          <w:szCs w:val="18"/>
        </w:rPr>
        <w:t>Pensando os papéis e significados das pequenas cidades do Noroeste do Paraná</w:t>
      </w:r>
      <w:r w:rsidRPr="00626310">
        <w:rPr>
          <w:rFonts w:ascii="Calibri" w:hAnsi="Calibri" w:cs="Calibri"/>
          <w:bCs/>
          <w:sz w:val="18"/>
          <w:szCs w:val="18"/>
        </w:rPr>
        <w:t xml:space="preserve">. </w:t>
      </w:r>
      <w:proofErr w:type="spellStart"/>
      <w:r w:rsidR="00B44ACE" w:rsidRPr="003741A2">
        <w:rPr>
          <w:rFonts w:ascii="Calibri" w:hAnsi="Calibri" w:cs="Calibri"/>
          <w:bCs/>
          <w:sz w:val="18"/>
          <w:szCs w:val="18"/>
        </w:rPr>
        <w:t>Thesis</w:t>
      </w:r>
      <w:proofErr w:type="spellEnd"/>
      <w:r w:rsidR="00B44ACE" w:rsidRPr="003741A2">
        <w:rPr>
          <w:rFonts w:ascii="Calibri" w:hAnsi="Calibri" w:cs="Calibri"/>
          <w:bCs/>
          <w:sz w:val="18"/>
          <w:szCs w:val="18"/>
        </w:rPr>
        <w:t xml:space="preserve"> (</w:t>
      </w:r>
      <w:proofErr w:type="spellStart"/>
      <w:r w:rsidR="00B44ACE" w:rsidRPr="003741A2">
        <w:rPr>
          <w:rFonts w:ascii="Calibri" w:hAnsi="Calibri" w:cs="Calibri"/>
          <w:bCs/>
          <w:sz w:val="18"/>
          <w:szCs w:val="18"/>
        </w:rPr>
        <w:t>Doctorate</w:t>
      </w:r>
      <w:proofErr w:type="spellEnd"/>
      <w:r w:rsidR="00B44ACE" w:rsidRPr="003741A2">
        <w:rPr>
          <w:rFonts w:ascii="Calibri" w:hAnsi="Calibri" w:cs="Calibri"/>
          <w:bCs/>
          <w:sz w:val="18"/>
          <w:szCs w:val="18"/>
        </w:rPr>
        <w:t xml:space="preserve"> in </w:t>
      </w:r>
      <w:proofErr w:type="spellStart"/>
      <w:r w:rsidR="00B44ACE" w:rsidRPr="003741A2">
        <w:rPr>
          <w:rFonts w:ascii="Calibri" w:hAnsi="Calibri" w:cs="Calibri"/>
          <w:bCs/>
          <w:sz w:val="18"/>
          <w:szCs w:val="18"/>
        </w:rPr>
        <w:t>Geography</w:t>
      </w:r>
      <w:proofErr w:type="spellEnd"/>
      <w:r w:rsidR="00B44ACE" w:rsidRPr="003741A2">
        <w:rPr>
          <w:rFonts w:ascii="Calibri" w:hAnsi="Calibri" w:cs="Calibri"/>
          <w:bCs/>
          <w:sz w:val="18"/>
          <w:szCs w:val="18"/>
        </w:rPr>
        <w:t>).</w:t>
      </w:r>
      <w:r w:rsidRPr="003741A2">
        <w:rPr>
          <w:rFonts w:ascii="Calibri" w:hAnsi="Calibri" w:cs="Calibri"/>
          <w:bCs/>
          <w:sz w:val="18"/>
          <w:szCs w:val="18"/>
        </w:rPr>
        <w:t xml:space="preserve"> Presidente Prudente: </w:t>
      </w:r>
      <w:r w:rsidRPr="00626310">
        <w:rPr>
          <w:rFonts w:ascii="Calibri" w:hAnsi="Calibri" w:cs="Calibri"/>
          <w:bCs/>
          <w:sz w:val="18"/>
          <w:szCs w:val="18"/>
        </w:rPr>
        <w:t>Universidade Estadual Paulista</w:t>
      </w:r>
      <w:r w:rsidRPr="003741A2">
        <w:rPr>
          <w:rFonts w:ascii="Calibri" w:hAnsi="Calibri" w:cs="Calibri"/>
          <w:bCs/>
          <w:sz w:val="18"/>
          <w:szCs w:val="18"/>
        </w:rPr>
        <w:t>, 2006.</w:t>
      </w:r>
    </w:p>
    <w:p w14:paraId="4E5928E6" w14:textId="77777777" w:rsidR="008D20BF" w:rsidRPr="003741A2" w:rsidRDefault="008D20BF" w:rsidP="008D20BF">
      <w:pPr>
        <w:jc w:val="both"/>
        <w:rPr>
          <w:rFonts w:ascii="Calibri" w:hAnsi="Calibri" w:cs="Calibri"/>
          <w:bCs/>
          <w:sz w:val="18"/>
          <w:szCs w:val="18"/>
        </w:rPr>
      </w:pPr>
    </w:p>
    <w:p w14:paraId="4D82CD08" w14:textId="7946E2DD"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FOUCAULT, Michel. De espaços outros; tradução Ana Cristina Arantes Nasser. In: </w:t>
      </w:r>
      <w:r w:rsidRPr="00626310">
        <w:rPr>
          <w:rFonts w:ascii="Calibri" w:hAnsi="Calibri" w:cs="Calibri"/>
          <w:b/>
          <w:sz w:val="18"/>
          <w:szCs w:val="18"/>
        </w:rPr>
        <w:t>Estudos Avançados 27</w:t>
      </w:r>
      <w:r w:rsidRPr="00626310">
        <w:rPr>
          <w:rFonts w:ascii="Calibri" w:hAnsi="Calibri" w:cs="Calibri"/>
          <w:bCs/>
          <w:sz w:val="18"/>
          <w:szCs w:val="18"/>
        </w:rPr>
        <w:t>, v.</w:t>
      </w:r>
      <w:r w:rsidR="00437812">
        <w:rPr>
          <w:rFonts w:ascii="Calibri" w:hAnsi="Calibri" w:cs="Calibri"/>
          <w:bCs/>
          <w:sz w:val="18"/>
          <w:szCs w:val="18"/>
        </w:rPr>
        <w:t xml:space="preserve"> </w:t>
      </w:r>
      <w:r w:rsidRPr="00626310">
        <w:rPr>
          <w:rFonts w:ascii="Calibri" w:hAnsi="Calibri" w:cs="Calibri"/>
          <w:bCs/>
          <w:sz w:val="18"/>
          <w:szCs w:val="18"/>
        </w:rPr>
        <w:t>79, 2013. p.</w:t>
      </w:r>
      <w:r w:rsidR="00697FF1">
        <w:rPr>
          <w:rFonts w:ascii="Calibri" w:hAnsi="Calibri" w:cs="Calibri"/>
          <w:bCs/>
          <w:sz w:val="18"/>
          <w:szCs w:val="18"/>
        </w:rPr>
        <w:t xml:space="preserve"> </w:t>
      </w:r>
      <w:r w:rsidRPr="00626310">
        <w:rPr>
          <w:rFonts w:ascii="Calibri" w:hAnsi="Calibri" w:cs="Calibri"/>
          <w:bCs/>
          <w:sz w:val="18"/>
          <w:szCs w:val="18"/>
        </w:rPr>
        <w:t>113-122.</w:t>
      </w:r>
    </w:p>
    <w:p w14:paraId="2E007EB4" w14:textId="77777777" w:rsidR="008D20BF" w:rsidRPr="00626310" w:rsidRDefault="008D20BF" w:rsidP="008D20BF">
      <w:pPr>
        <w:jc w:val="both"/>
        <w:rPr>
          <w:rFonts w:ascii="Calibri" w:hAnsi="Calibri" w:cs="Calibri"/>
          <w:bCs/>
          <w:sz w:val="18"/>
          <w:szCs w:val="18"/>
        </w:rPr>
      </w:pPr>
    </w:p>
    <w:p w14:paraId="64098E37"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FOUCAULT, Michel. Sobre a geografia. </w:t>
      </w:r>
      <w:r w:rsidRPr="00626310">
        <w:rPr>
          <w:rFonts w:ascii="Calibri" w:hAnsi="Calibri" w:cs="Calibri"/>
          <w:b/>
          <w:sz w:val="18"/>
          <w:szCs w:val="18"/>
        </w:rPr>
        <w:t>Microfísica do Poder</w:t>
      </w:r>
      <w:r w:rsidRPr="00626310">
        <w:rPr>
          <w:rFonts w:ascii="Calibri" w:hAnsi="Calibri" w:cs="Calibri"/>
          <w:bCs/>
          <w:sz w:val="18"/>
          <w:szCs w:val="18"/>
        </w:rPr>
        <w:t>. Rio de Janeiro: Graal, 2008.</w:t>
      </w:r>
    </w:p>
    <w:p w14:paraId="5DA1B11D" w14:textId="77777777" w:rsidR="008D20BF" w:rsidRPr="00626310" w:rsidRDefault="008D20BF" w:rsidP="008D20BF">
      <w:pPr>
        <w:jc w:val="both"/>
        <w:rPr>
          <w:rFonts w:ascii="Calibri" w:hAnsi="Calibri" w:cs="Calibri"/>
          <w:bCs/>
          <w:sz w:val="18"/>
          <w:szCs w:val="18"/>
        </w:rPr>
      </w:pPr>
    </w:p>
    <w:p w14:paraId="1F149D46"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FREITAS, Lorena Martoni de; FICHE, Gustavo de Lucas. Arquiteturas do poder: contribuições do pensamento de Michel Foucault ao estudo do direito urbanístico. </w:t>
      </w:r>
      <w:r w:rsidRPr="00626310">
        <w:rPr>
          <w:rFonts w:ascii="Calibri" w:hAnsi="Calibri" w:cs="Calibri"/>
          <w:b/>
          <w:sz w:val="18"/>
          <w:szCs w:val="18"/>
        </w:rPr>
        <w:t>Revista do CAAP</w:t>
      </w:r>
      <w:r w:rsidRPr="00626310">
        <w:rPr>
          <w:rFonts w:ascii="Calibri" w:hAnsi="Calibri" w:cs="Calibri"/>
          <w:bCs/>
          <w:sz w:val="18"/>
          <w:szCs w:val="18"/>
        </w:rPr>
        <w:t>. Belo Horizonte, n. 1, v. XX, 2014, p.89-105.</w:t>
      </w:r>
    </w:p>
    <w:p w14:paraId="74E243F1" w14:textId="77777777" w:rsidR="008D20BF" w:rsidRPr="00626310" w:rsidRDefault="008D20BF" w:rsidP="008D20BF">
      <w:pPr>
        <w:jc w:val="both"/>
        <w:rPr>
          <w:rFonts w:ascii="Calibri" w:hAnsi="Calibri" w:cs="Calibri"/>
          <w:bCs/>
          <w:sz w:val="18"/>
          <w:szCs w:val="18"/>
        </w:rPr>
      </w:pPr>
    </w:p>
    <w:p w14:paraId="275579A0" w14:textId="0EF29F03" w:rsidR="008D20BF" w:rsidRPr="003741A2" w:rsidRDefault="008D20BF" w:rsidP="008D20BF">
      <w:pPr>
        <w:jc w:val="both"/>
        <w:rPr>
          <w:rFonts w:ascii="Calibri" w:hAnsi="Calibri" w:cs="Calibri"/>
          <w:bCs/>
          <w:sz w:val="18"/>
          <w:szCs w:val="18"/>
          <w:lang w:val="en-US"/>
        </w:rPr>
      </w:pPr>
      <w:r w:rsidRPr="00626310">
        <w:rPr>
          <w:rFonts w:ascii="Calibri" w:hAnsi="Calibri" w:cs="Calibri"/>
          <w:bCs/>
          <w:sz w:val="18"/>
          <w:szCs w:val="18"/>
        </w:rPr>
        <w:t xml:space="preserve">GARCIA, Guilherme Henrique da Silva Basco. </w:t>
      </w:r>
      <w:r w:rsidRPr="00626310">
        <w:rPr>
          <w:rFonts w:ascii="Calibri" w:hAnsi="Calibri" w:cs="Calibri"/>
          <w:b/>
          <w:sz w:val="18"/>
          <w:szCs w:val="18"/>
        </w:rPr>
        <w:t>Michel Foucault</w:t>
      </w:r>
      <w:r w:rsidRPr="00626310">
        <w:rPr>
          <w:rFonts w:ascii="Calibri" w:hAnsi="Calibri" w:cs="Calibri"/>
          <w:bCs/>
          <w:sz w:val="18"/>
          <w:szCs w:val="18"/>
        </w:rPr>
        <w:t xml:space="preserve">: das cartografias do poder aos espaços outros. </w:t>
      </w:r>
      <w:r w:rsidR="00437812" w:rsidRPr="003741A2">
        <w:rPr>
          <w:rFonts w:ascii="Calibri" w:hAnsi="Calibri" w:cs="Calibri"/>
          <w:bCs/>
          <w:sz w:val="18"/>
          <w:szCs w:val="18"/>
          <w:lang w:val="en-US"/>
        </w:rPr>
        <w:t>Dissertation (</w:t>
      </w:r>
      <w:r w:rsidR="00697FF1">
        <w:rPr>
          <w:rFonts w:ascii="Calibri" w:hAnsi="Calibri" w:cs="Calibri"/>
          <w:bCs/>
          <w:sz w:val="18"/>
          <w:szCs w:val="18"/>
          <w:lang w:val="en-US"/>
        </w:rPr>
        <w:t>M</w:t>
      </w:r>
      <w:r w:rsidR="00697FF1" w:rsidRPr="003741A2">
        <w:rPr>
          <w:rFonts w:ascii="Calibri" w:hAnsi="Calibri" w:cs="Calibri"/>
          <w:bCs/>
          <w:sz w:val="18"/>
          <w:szCs w:val="18"/>
          <w:lang w:val="en-US"/>
        </w:rPr>
        <w:t xml:space="preserve">aster’s in </w:t>
      </w:r>
      <w:r w:rsidR="00697FF1">
        <w:rPr>
          <w:rFonts w:ascii="Calibri" w:hAnsi="Calibri" w:cs="Calibri"/>
          <w:bCs/>
          <w:sz w:val="18"/>
          <w:szCs w:val="18"/>
          <w:lang w:val="en-US"/>
        </w:rPr>
        <w:t>P</w:t>
      </w:r>
      <w:r w:rsidR="00697FF1" w:rsidRPr="003741A2">
        <w:rPr>
          <w:rFonts w:ascii="Calibri" w:hAnsi="Calibri" w:cs="Calibri"/>
          <w:bCs/>
          <w:sz w:val="18"/>
          <w:szCs w:val="18"/>
          <w:lang w:val="en-US"/>
        </w:rPr>
        <w:t>hilosophy</w:t>
      </w:r>
      <w:r w:rsidR="00437812" w:rsidRPr="003741A2">
        <w:rPr>
          <w:rFonts w:ascii="Calibri" w:hAnsi="Calibri" w:cs="Calibri"/>
          <w:bCs/>
          <w:sz w:val="18"/>
          <w:szCs w:val="18"/>
          <w:lang w:val="en-US"/>
        </w:rPr>
        <w:t>). Londrina: State University of Londrina</w:t>
      </w:r>
      <w:r w:rsidRPr="003741A2">
        <w:rPr>
          <w:rFonts w:ascii="Calibri" w:hAnsi="Calibri" w:cs="Calibri"/>
          <w:bCs/>
          <w:sz w:val="18"/>
          <w:szCs w:val="18"/>
          <w:lang w:val="en-US"/>
        </w:rPr>
        <w:t>, 2021.</w:t>
      </w:r>
    </w:p>
    <w:p w14:paraId="1527B962" w14:textId="77777777" w:rsidR="008D20BF" w:rsidRPr="003741A2" w:rsidRDefault="008D20BF" w:rsidP="008D20BF">
      <w:pPr>
        <w:jc w:val="both"/>
        <w:rPr>
          <w:rFonts w:ascii="Calibri" w:hAnsi="Calibri" w:cs="Calibri"/>
          <w:bCs/>
          <w:sz w:val="18"/>
          <w:szCs w:val="18"/>
          <w:lang w:val="en-US"/>
        </w:rPr>
      </w:pPr>
    </w:p>
    <w:p w14:paraId="2FFF984E" w14:textId="77777777" w:rsidR="008D20BF" w:rsidRDefault="008D20BF" w:rsidP="008D20BF">
      <w:pPr>
        <w:jc w:val="both"/>
        <w:rPr>
          <w:rFonts w:ascii="Calibri" w:hAnsi="Calibri" w:cs="Calibri"/>
          <w:bCs/>
          <w:sz w:val="18"/>
          <w:szCs w:val="18"/>
        </w:rPr>
      </w:pPr>
      <w:r w:rsidRPr="003741A2">
        <w:rPr>
          <w:rFonts w:ascii="Calibri" w:hAnsi="Calibri" w:cs="Calibri"/>
          <w:bCs/>
          <w:sz w:val="18"/>
          <w:szCs w:val="18"/>
          <w:lang w:val="en-US"/>
        </w:rPr>
        <w:t xml:space="preserve">HAESBAERT, Rogério. </w:t>
      </w:r>
      <w:r w:rsidRPr="00BD524F">
        <w:rPr>
          <w:rFonts w:ascii="Calibri" w:hAnsi="Calibri" w:cs="Calibri"/>
          <w:b/>
          <w:sz w:val="18"/>
          <w:szCs w:val="18"/>
        </w:rPr>
        <w:t>Territórios alternativos</w:t>
      </w:r>
      <w:r w:rsidRPr="00BD524F">
        <w:rPr>
          <w:rFonts w:ascii="Calibri" w:hAnsi="Calibri" w:cs="Calibri"/>
          <w:bCs/>
          <w:sz w:val="18"/>
          <w:szCs w:val="18"/>
        </w:rPr>
        <w:t>. São Paulo: Contexto, 2002.</w:t>
      </w:r>
    </w:p>
    <w:p w14:paraId="7B82A88C" w14:textId="77777777" w:rsidR="008D20BF" w:rsidRDefault="008D20BF" w:rsidP="008D20BF">
      <w:pPr>
        <w:jc w:val="both"/>
        <w:rPr>
          <w:rFonts w:ascii="Calibri" w:hAnsi="Calibri" w:cs="Calibri"/>
          <w:bCs/>
          <w:sz w:val="18"/>
          <w:szCs w:val="18"/>
        </w:rPr>
      </w:pPr>
    </w:p>
    <w:p w14:paraId="5E88F63F" w14:textId="77777777" w:rsidR="008D20BF" w:rsidRDefault="008D20BF" w:rsidP="008D20BF">
      <w:pPr>
        <w:jc w:val="both"/>
        <w:rPr>
          <w:rFonts w:ascii="Calibri" w:hAnsi="Calibri" w:cs="Calibri"/>
          <w:bCs/>
          <w:sz w:val="18"/>
          <w:szCs w:val="18"/>
        </w:rPr>
      </w:pPr>
      <w:r>
        <w:rPr>
          <w:rFonts w:ascii="Calibri" w:hAnsi="Calibri" w:cs="Calibri"/>
          <w:bCs/>
          <w:sz w:val="18"/>
          <w:szCs w:val="18"/>
        </w:rPr>
        <w:t xml:space="preserve">HARVEY, David. </w:t>
      </w:r>
      <w:r w:rsidRPr="006E2BC2">
        <w:rPr>
          <w:rFonts w:ascii="Calibri" w:hAnsi="Calibri" w:cs="Calibri"/>
          <w:b/>
          <w:sz w:val="18"/>
          <w:szCs w:val="18"/>
        </w:rPr>
        <w:t>A produção capitalista do espaço</w:t>
      </w:r>
      <w:r>
        <w:rPr>
          <w:rFonts w:ascii="Calibri" w:hAnsi="Calibri" w:cs="Calibri"/>
          <w:bCs/>
          <w:sz w:val="18"/>
          <w:szCs w:val="18"/>
        </w:rPr>
        <w:t>. São Paulo: Annablume, 2005.</w:t>
      </w:r>
    </w:p>
    <w:p w14:paraId="475BC499" w14:textId="77777777" w:rsidR="008D20BF" w:rsidRPr="00626310" w:rsidRDefault="008D20BF" w:rsidP="008D20BF">
      <w:pPr>
        <w:jc w:val="both"/>
        <w:rPr>
          <w:rFonts w:ascii="Calibri" w:hAnsi="Calibri" w:cs="Calibri"/>
          <w:bCs/>
          <w:sz w:val="18"/>
          <w:szCs w:val="18"/>
        </w:rPr>
      </w:pPr>
    </w:p>
    <w:p w14:paraId="26920923" w14:textId="6D64E6A1"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IBGE</w:t>
      </w:r>
      <w:r w:rsidR="00437812">
        <w:rPr>
          <w:rFonts w:ascii="Calibri" w:hAnsi="Calibri" w:cs="Calibri"/>
          <w:bCs/>
          <w:sz w:val="18"/>
          <w:szCs w:val="18"/>
        </w:rPr>
        <w:t>.</w:t>
      </w:r>
      <w:r w:rsidRPr="00626310">
        <w:rPr>
          <w:rFonts w:ascii="Calibri" w:hAnsi="Calibri" w:cs="Calibri"/>
          <w:bCs/>
          <w:sz w:val="18"/>
          <w:szCs w:val="18"/>
        </w:rPr>
        <w:t xml:space="preserve"> </w:t>
      </w:r>
      <w:proofErr w:type="spellStart"/>
      <w:r w:rsidR="00C92E8D" w:rsidRPr="00C92E8D">
        <w:rPr>
          <w:rFonts w:ascii="Calibri" w:hAnsi="Calibri" w:cs="Calibri"/>
          <w:bCs/>
          <w:sz w:val="18"/>
          <w:szCs w:val="18"/>
        </w:rPr>
        <w:t>Geography</w:t>
      </w:r>
      <w:proofErr w:type="spellEnd"/>
      <w:r w:rsidR="00C92E8D" w:rsidRPr="00C92E8D">
        <w:rPr>
          <w:rFonts w:ascii="Calibri" w:hAnsi="Calibri" w:cs="Calibri"/>
          <w:bCs/>
          <w:sz w:val="18"/>
          <w:szCs w:val="18"/>
        </w:rPr>
        <w:t xml:space="preserve"> </w:t>
      </w:r>
      <w:proofErr w:type="spellStart"/>
      <w:r w:rsidR="00C92E8D" w:rsidRPr="00C92E8D">
        <w:rPr>
          <w:rFonts w:ascii="Calibri" w:hAnsi="Calibri" w:cs="Calibri"/>
          <w:bCs/>
          <w:sz w:val="18"/>
          <w:szCs w:val="18"/>
        </w:rPr>
        <w:t>Coordination</w:t>
      </w:r>
      <w:proofErr w:type="spellEnd"/>
      <w:r w:rsidRPr="00626310">
        <w:rPr>
          <w:rFonts w:ascii="Calibri" w:hAnsi="Calibri" w:cs="Calibri"/>
          <w:bCs/>
          <w:sz w:val="18"/>
          <w:szCs w:val="18"/>
        </w:rPr>
        <w:t xml:space="preserve">. </w:t>
      </w:r>
      <w:r w:rsidRPr="00626310">
        <w:rPr>
          <w:rFonts w:ascii="Calibri" w:hAnsi="Calibri" w:cs="Calibri"/>
          <w:b/>
          <w:sz w:val="18"/>
          <w:szCs w:val="18"/>
        </w:rPr>
        <w:t>Regiões de influência das cidades</w:t>
      </w:r>
      <w:r w:rsidRPr="00626310">
        <w:rPr>
          <w:rFonts w:ascii="Calibri" w:hAnsi="Calibri" w:cs="Calibri"/>
          <w:bCs/>
          <w:sz w:val="18"/>
          <w:szCs w:val="18"/>
        </w:rPr>
        <w:t>: 2018. Rio de Janeiro: IBGE, 2020.</w:t>
      </w:r>
    </w:p>
    <w:p w14:paraId="4B75383D" w14:textId="77777777" w:rsidR="008D20BF" w:rsidRPr="00626310" w:rsidRDefault="008D20BF" w:rsidP="008D20BF">
      <w:pPr>
        <w:jc w:val="both"/>
        <w:rPr>
          <w:rFonts w:ascii="Calibri" w:hAnsi="Calibri" w:cs="Calibri"/>
          <w:bCs/>
          <w:sz w:val="18"/>
          <w:szCs w:val="18"/>
        </w:rPr>
      </w:pPr>
    </w:p>
    <w:p w14:paraId="6AFB62A9"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JESUS, Josias Alves de; SPINOLA, </w:t>
      </w:r>
      <w:proofErr w:type="spellStart"/>
      <w:r w:rsidRPr="00626310">
        <w:rPr>
          <w:rFonts w:ascii="Calibri" w:hAnsi="Calibri" w:cs="Calibri"/>
          <w:bCs/>
          <w:sz w:val="18"/>
          <w:szCs w:val="18"/>
        </w:rPr>
        <w:t>Noelio</w:t>
      </w:r>
      <w:proofErr w:type="spellEnd"/>
      <w:r w:rsidRPr="00626310">
        <w:rPr>
          <w:rFonts w:ascii="Calibri" w:hAnsi="Calibri" w:cs="Calibri"/>
          <w:bCs/>
          <w:sz w:val="18"/>
          <w:szCs w:val="18"/>
        </w:rPr>
        <w:t xml:space="preserve"> </w:t>
      </w:r>
      <w:proofErr w:type="spellStart"/>
      <w:r w:rsidRPr="00626310">
        <w:rPr>
          <w:rFonts w:ascii="Calibri" w:hAnsi="Calibri" w:cs="Calibri"/>
          <w:bCs/>
          <w:sz w:val="18"/>
          <w:szCs w:val="18"/>
        </w:rPr>
        <w:t>Dantaslé</w:t>
      </w:r>
      <w:proofErr w:type="spellEnd"/>
      <w:r w:rsidRPr="00626310">
        <w:rPr>
          <w:rFonts w:ascii="Calibri" w:hAnsi="Calibri" w:cs="Calibri"/>
          <w:bCs/>
          <w:sz w:val="18"/>
          <w:szCs w:val="18"/>
        </w:rPr>
        <w:t xml:space="preserve">. Seis décadas da teoria dos polos de crescimento: revisitando Perroux. </w:t>
      </w:r>
      <w:r w:rsidRPr="00626310">
        <w:rPr>
          <w:rFonts w:ascii="Calibri" w:hAnsi="Calibri" w:cs="Calibri"/>
          <w:b/>
          <w:sz w:val="18"/>
          <w:szCs w:val="18"/>
        </w:rPr>
        <w:t>Revista de Desenvolvimento Econômico</w:t>
      </w:r>
      <w:r w:rsidRPr="00626310">
        <w:rPr>
          <w:rFonts w:ascii="Calibri" w:hAnsi="Calibri" w:cs="Calibri"/>
          <w:bCs/>
          <w:sz w:val="18"/>
          <w:szCs w:val="18"/>
        </w:rPr>
        <w:t>. Salvador, ano XVII, n.2, 2015. p.935-952.</w:t>
      </w:r>
    </w:p>
    <w:p w14:paraId="4904D9D1" w14:textId="77777777" w:rsidR="008D20BF" w:rsidRPr="00626310" w:rsidRDefault="008D20BF" w:rsidP="008D20BF">
      <w:pPr>
        <w:jc w:val="both"/>
        <w:rPr>
          <w:rFonts w:ascii="Calibri" w:hAnsi="Calibri" w:cs="Calibri"/>
          <w:bCs/>
          <w:sz w:val="18"/>
          <w:szCs w:val="18"/>
        </w:rPr>
      </w:pPr>
    </w:p>
    <w:p w14:paraId="5A24FA78" w14:textId="77777777" w:rsidR="008D20BF" w:rsidRDefault="008D20BF" w:rsidP="008D20BF">
      <w:pPr>
        <w:jc w:val="both"/>
        <w:rPr>
          <w:rFonts w:ascii="Calibri" w:hAnsi="Calibri" w:cs="Calibri"/>
          <w:bCs/>
          <w:sz w:val="18"/>
          <w:szCs w:val="18"/>
        </w:rPr>
      </w:pPr>
      <w:r w:rsidRPr="00626310">
        <w:rPr>
          <w:rFonts w:ascii="Calibri" w:hAnsi="Calibri" w:cs="Calibri"/>
          <w:bCs/>
          <w:sz w:val="18"/>
          <w:szCs w:val="18"/>
        </w:rPr>
        <w:t xml:space="preserve">LASUÉN, José Ramón. </w:t>
      </w:r>
      <w:proofErr w:type="spellStart"/>
      <w:r w:rsidRPr="00626310">
        <w:rPr>
          <w:rFonts w:ascii="Calibri" w:hAnsi="Calibri" w:cs="Calibri"/>
          <w:b/>
          <w:sz w:val="18"/>
          <w:szCs w:val="18"/>
        </w:rPr>
        <w:t>Ensayos</w:t>
      </w:r>
      <w:proofErr w:type="spellEnd"/>
      <w:r w:rsidRPr="00626310">
        <w:rPr>
          <w:rFonts w:ascii="Calibri" w:hAnsi="Calibri" w:cs="Calibri"/>
          <w:b/>
          <w:sz w:val="18"/>
          <w:szCs w:val="18"/>
        </w:rPr>
        <w:t xml:space="preserve"> sobre economia regional y urbana</w:t>
      </w:r>
      <w:r w:rsidRPr="00626310">
        <w:rPr>
          <w:rFonts w:ascii="Calibri" w:hAnsi="Calibri" w:cs="Calibri"/>
          <w:bCs/>
          <w:sz w:val="18"/>
          <w:szCs w:val="18"/>
        </w:rPr>
        <w:t>. Barcelona: Ariel, 1976.</w:t>
      </w:r>
    </w:p>
    <w:p w14:paraId="57A9BBBD" w14:textId="77777777" w:rsidR="008D20BF" w:rsidRDefault="008D20BF" w:rsidP="008D20BF">
      <w:pPr>
        <w:jc w:val="both"/>
        <w:rPr>
          <w:rFonts w:ascii="Calibri" w:hAnsi="Calibri" w:cs="Calibri"/>
          <w:bCs/>
          <w:sz w:val="18"/>
          <w:szCs w:val="18"/>
        </w:rPr>
      </w:pPr>
    </w:p>
    <w:p w14:paraId="25941BF3" w14:textId="77777777" w:rsidR="008D20BF" w:rsidRPr="00626310" w:rsidRDefault="008D20BF" w:rsidP="008D20BF">
      <w:pPr>
        <w:jc w:val="both"/>
        <w:rPr>
          <w:rFonts w:ascii="Calibri" w:hAnsi="Calibri" w:cs="Calibri"/>
          <w:bCs/>
          <w:sz w:val="18"/>
          <w:szCs w:val="18"/>
        </w:rPr>
      </w:pPr>
      <w:r w:rsidRPr="000D5416">
        <w:rPr>
          <w:rFonts w:ascii="Calibri" w:hAnsi="Calibri" w:cs="Calibri"/>
          <w:bCs/>
          <w:sz w:val="18"/>
          <w:szCs w:val="18"/>
        </w:rPr>
        <w:t>LIPIETZ, Ala</w:t>
      </w:r>
      <w:r>
        <w:rPr>
          <w:rFonts w:ascii="Calibri" w:hAnsi="Calibri" w:cs="Calibri"/>
          <w:bCs/>
          <w:sz w:val="18"/>
          <w:szCs w:val="18"/>
        </w:rPr>
        <w:t>i</w:t>
      </w:r>
      <w:r w:rsidRPr="000D5416">
        <w:rPr>
          <w:rFonts w:ascii="Calibri" w:hAnsi="Calibri" w:cs="Calibri"/>
          <w:bCs/>
          <w:sz w:val="18"/>
          <w:szCs w:val="18"/>
        </w:rPr>
        <w:t xml:space="preserve">n. </w:t>
      </w:r>
      <w:r w:rsidRPr="000D5416">
        <w:rPr>
          <w:rFonts w:ascii="Calibri" w:hAnsi="Calibri" w:cs="Calibri"/>
          <w:b/>
          <w:sz w:val="18"/>
          <w:szCs w:val="18"/>
        </w:rPr>
        <w:t>O capital e seu espaço</w:t>
      </w:r>
      <w:r w:rsidRPr="000D5416">
        <w:rPr>
          <w:rFonts w:ascii="Calibri" w:hAnsi="Calibri" w:cs="Calibri"/>
          <w:bCs/>
          <w:sz w:val="18"/>
          <w:szCs w:val="18"/>
        </w:rPr>
        <w:t>. São Paulo: Nobel, 1988.</w:t>
      </w:r>
    </w:p>
    <w:p w14:paraId="3E010E65" w14:textId="77777777" w:rsidR="008D20BF" w:rsidRPr="00626310" w:rsidRDefault="008D20BF" w:rsidP="008D20BF">
      <w:pPr>
        <w:jc w:val="both"/>
        <w:rPr>
          <w:rFonts w:ascii="Calibri" w:hAnsi="Calibri" w:cs="Calibri"/>
          <w:bCs/>
          <w:sz w:val="18"/>
          <w:szCs w:val="18"/>
        </w:rPr>
      </w:pPr>
    </w:p>
    <w:p w14:paraId="49921FB8" w14:textId="77777777" w:rsidR="008D20BF" w:rsidRDefault="008D20BF" w:rsidP="008D20BF">
      <w:pPr>
        <w:jc w:val="both"/>
        <w:rPr>
          <w:rFonts w:ascii="Calibri" w:hAnsi="Calibri" w:cs="Calibri"/>
          <w:bCs/>
          <w:sz w:val="18"/>
          <w:szCs w:val="18"/>
        </w:rPr>
      </w:pPr>
      <w:r>
        <w:rPr>
          <w:rFonts w:ascii="Calibri" w:hAnsi="Calibri" w:cs="Calibri"/>
          <w:bCs/>
          <w:sz w:val="18"/>
          <w:szCs w:val="18"/>
        </w:rPr>
        <w:t xml:space="preserve">MAGALHÃES, Felipe Nunes. </w:t>
      </w:r>
      <w:r w:rsidRPr="002132EB">
        <w:rPr>
          <w:rFonts w:ascii="Calibri" w:hAnsi="Calibri" w:cs="Calibri"/>
          <w:bCs/>
          <w:sz w:val="18"/>
          <w:szCs w:val="18"/>
        </w:rPr>
        <w:t>D</w:t>
      </w:r>
      <w:r>
        <w:rPr>
          <w:rFonts w:ascii="Calibri" w:hAnsi="Calibri" w:cs="Calibri"/>
          <w:bCs/>
          <w:sz w:val="18"/>
          <w:szCs w:val="18"/>
        </w:rPr>
        <w:t>a Metrópole à Cidade-Região: na Direção de um Novo Arranjo Espacial Metropolitano</w:t>
      </w:r>
      <w:r w:rsidRPr="002132EB">
        <w:rPr>
          <w:rFonts w:ascii="Calibri" w:hAnsi="Calibri" w:cs="Calibri"/>
          <w:bCs/>
          <w:sz w:val="18"/>
          <w:szCs w:val="18"/>
        </w:rPr>
        <w:t>?</w:t>
      </w:r>
      <w:r>
        <w:rPr>
          <w:rFonts w:ascii="Calibri" w:hAnsi="Calibri" w:cs="Calibri"/>
          <w:bCs/>
          <w:sz w:val="18"/>
          <w:szCs w:val="18"/>
        </w:rPr>
        <w:t xml:space="preserve"> </w:t>
      </w:r>
      <w:r w:rsidRPr="002132EB">
        <w:rPr>
          <w:rFonts w:ascii="Calibri" w:hAnsi="Calibri" w:cs="Calibri"/>
          <w:b/>
          <w:sz w:val="18"/>
          <w:szCs w:val="18"/>
        </w:rPr>
        <w:t>Revista Brasileira de Estudos Urbanos e Regionais</w:t>
      </w:r>
      <w:r>
        <w:rPr>
          <w:rFonts w:ascii="Calibri" w:hAnsi="Calibri" w:cs="Calibri"/>
          <w:bCs/>
          <w:sz w:val="18"/>
          <w:szCs w:val="18"/>
        </w:rPr>
        <w:t>, v. 10, n. 2, 2008.</w:t>
      </w:r>
    </w:p>
    <w:p w14:paraId="05D7A652" w14:textId="77777777" w:rsidR="008D20BF" w:rsidRDefault="008D20BF" w:rsidP="008D20BF">
      <w:pPr>
        <w:jc w:val="both"/>
        <w:rPr>
          <w:rFonts w:ascii="Calibri" w:hAnsi="Calibri" w:cs="Calibri"/>
          <w:bCs/>
          <w:sz w:val="18"/>
          <w:szCs w:val="18"/>
        </w:rPr>
      </w:pPr>
    </w:p>
    <w:p w14:paraId="3D144E6A" w14:textId="240A52D9"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M</w:t>
      </w:r>
      <w:r>
        <w:rPr>
          <w:rFonts w:ascii="Calibri" w:hAnsi="Calibri" w:cs="Calibri"/>
          <w:bCs/>
          <w:sz w:val="18"/>
          <w:szCs w:val="18"/>
        </w:rPr>
        <w:t>ATTE JÚNIOR</w:t>
      </w:r>
      <w:r w:rsidRPr="00626310">
        <w:rPr>
          <w:rFonts w:ascii="Calibri" w:hAnsi="Calibri" w:cs="Calibri"/>
          <w:bCs/>
          <w:sz w:val="18"/>
          <w:szCs w:val="18"/>
        </w:rPr>
        <w:t xml:space="preserve">, Alexandre </w:t>
      </w:r>
      <w:proofErr w:type="spellStart"/>
      <w:r w:rsidRPr="00626310">
        <w:rPr>
          <w:rFonts w:ascii="Calibri" w:hAnsi="Calibri" w:cs="Calibri"/>
          <w:bCs/>
          <w:sz w:val="18"/>
          <w:szCs w:val="18"/>
        </w:rPr>
        <w:t>Aloys</w:t>
      </w:r>
      <w:proofErr w:type="spellEnd"/>
      <w:r w:rsidRPr="00626310">
        <w:rPr>
          <w:rFonts w:ascii="Calibri" w:hAnsi="Calibri" w:cs="Calibri"/>
          <w:bCs/>
          <w:sz w:val="18"/>
          <w:szCs w:val="18"/>
        </w:rPr>
        <w:t xml:space="preserve">; </w:t>
      </w:r>
      <w:r>
        <w:rPr>
          <w:rFonts w:ascii="Calibri" w:hAnsi="Calibri" w:cs="Calibri"/>
          <w:bCs/>
          <w:sz w:val="18"/>
          <w:szCs w:val="18"/>
        </w:rPr>
        <w:t>ALVES</w:t>
      </w:r>
      <w:r w:rsidRPr="00626310">
        <w:rPr>
          <w:rFonts w:ascii="Calibri" w:hAnsi="Calibri" w:cs="Calibri"/>
          <w:bCs/>
          <w:sz w:val="18"/>
          <w:szCs w:val="18"/>
        </w:rPr>
        <w:t xml:space="preserve">, </w:t>
      </w:r>
      <w:proofErr w:type="spellStart"/>
      <w:r w:rsidRPr="00626310">
        <w:rPr>
          <w:rFonts w:ascii="Calibri" w:hAnsi="Calibri" w:cs="Calibri"/>
          <w:bCs/>
          <w:sz w:val="18"/>
          <w:szCs w:val="18"/>
        </w:rPr>
        <w:t>Darlã</w:t>
      </w:r>
      <w:proofErr w:type="spellEnd"/>
      <w:r w:rsidRPr="00626310">
        <w:rPr>
          <w:rFonts w:ascii="Calibri" w:hAnsi="Calibri" w:cs="Calibri"/>
          <w:bCs/>
          <w:sz w:val="18"/>
          <w:szCs w:val="18"/>
        </w:rPr>
        <w:t xml:space="preserve"> de. A Teoria dos Polos de Crescimento de Perroux: Uma Revisão Sistemática. </w:t>
      </w:r>
      <w:r w:rsidRPr="00626310">
        <w:rPr>
          <w:rFonts w:ascii="Calibri" w:hAnsi="Calibri" w:cs="Calibri"/>
          <w:b/>
          <w:sz w:val="18"/>
          <w:szCs w:val="18"/>
        </w:rPr>
        <w:t>Revista de Administração e Negócios da Amazônia</w:t>
      </w:r>
      <w:r w:rsidRPr="00626310">
        <w:rPr>
          <w:rFonts w:ascii="Calibri" w:hAnsi="Calibri" w:cs="Calibri"/>
          <w:bCs/>
          <w:sz w:val="18"/>
          <w:szCs w:val="18"/>
        </w:rPr>
        <w:t xml:space="preserve">, </w:t>
      </w:r>
      <w:r w:rsidR="00697FF1">
        <w:rPr>
          <w:rFonts w:ascii="Calibri" w:hAnsi="Calibri" w:cs="Calibri"/>
          <w:bCs/>
          <w:sz w:val="18"/>
          <w:szCs w:val="18"/>
        </w:rPr>
        <w:t>v</w:t>
      </w:r>
      <w:r w:rsidRPr="00626310">
        <w:rPr>
          <w:rFonts w:ascii="Calibri" w:hAnsi="Calibri" w:cs="Calibri"/>
          <w:bCs/>
          <w:sz w:val="18"/>
          <w:szCs w:val="18"/>
        </w:rPr>
        <w:t>.</w:t>
      </w:r>
      <w:r w:rsidR="00697FF1">
        <w:rPr>
          <w:rFonts w:ascii="Calibri" w:hAnsi="Calibri" w:cs="Calibri"/>
          <w:bCs/>
          <w:sz w:val="18"/>
          <w:szCs w:val="18"/>
        </w:rPr>
        <w:t xml:space="preserve"> </w:t>
      </w:r>
      <w:r w:rsidRPr="00626310">
        <w:rPr>
          <w:rFonts w:ascii="Calibri" w:hAnsi="Calibri" w:cs="Calibri"/>
          <w:bCs/>
          <w:sz w:val="18"/>
          <w:szCs w:val="18"/>
        </w:rPr>
        <w:t>9, n.</w:t>
      </w:r>
      <w:r w:rsidR="00697FF1">
        <w:rPr>
          <w:rFonts w:ascii="Calibri" w:hAnsi="Calibri" w:cs="Calibri"/>
          <w:bCs/>
          <w:sz w:val="18"/>
          <w:szCs w:val="18"/>
        </w:rPr>
        <w:t xml:space="preserve"> </w:t>
      </w:r>
      <w:r w:rsidRPr="00626310">
        <w:rPr>
          <w:rFonts w:ascii="Calibri" w:hAnsi="Calibri" w:cs="Calibri"/>
          <w:bCs/>
          <w:sz w:val="18"/>
          <w:szCs w:val="18"/>
        </w:rPr>
        <w:t xml:space="preserve">3, </w:t>
      </w:r>
      <w:proofErr w:type="spellStart"/>
      <w:r w:rsidRPr="00626310">
        <w:rPr>
          <w:rFonts w:ascii="Calibri" w:hAnsi="Calibri" w:cs="Calibri"/>
          <w:bCs/>
          <w:sz w:val="18"/>
          <w:szCs w:val="18"/>
        </w:rPr>
        <w:t>ma</w:t>
      </w:r>
      <w:r w:rsidR="004B6E29">
        <w:rPr>
          <w:rFonts w:ascii="Calibri" w:hAnsi="Calibri" w:cs="Calibri"/>
          <w:bCs/>
          <w:sz w:val="18"/>
          <w:szCs w:val="18"/>
        </w:rPr>
        <w:t>y</w:t>
      </w:r>
      <w:proofErr w:type="spellEnd"/>
      <w:r w:rsidR="004B6E29">
        <w:rPr>
          <w:rFonts w:ascii="Calibri" w:hAnsi="Calibri" w:cs="Calibri"/>
          <w:bCs/>
          <w:sz w:val="18"/>
          <w:szCs w:val="18"/>
        </w:rPr>
        <w:t>.</w:t>
      </w:r>
      <w:r w:rsidRPr="00626310">
        <w:rPr>
          <w:rFonts w:ascii="Calibri" w:hAnsi="Calibri" w:cs="Calibri"/>
          <w:bCs/>
          <w:sz w:val="18"/>
          <w:szCs w:val="18"/>
        </w:rPr>
        <w:t>/</w:t>
      </w:r>
      <w:proofErr w:type="spellStart"/>
      <w:r w:rsidRPr="00626310">
        <w:rPr>
          <w:rFonts w:ascii="Calibri" w:hAnsi="Calibri" w:cs="Calibri"/>
          <w:bCs/>
          <w:sz w:val="18"/>
          <w:szCs w:val="18"/>
        </w:rPr>
        <w:t>a</w:t>
      </w:r>
      <w:r w:rsidR="004B6E29">
        <w:rPr>
          <w:rFonts w:ascii="Calibri" w:hAnsi="Calibri" w:cs="Calibri"/>
          <w:bCs/>
          <w:sz w:val="18"/>
          <w:szCs w:val="18"/>
        </w:rPr>
        <w:t>u</w:t>
      </w:r>
      <w:r w:rsidRPr="00626310">
        <w:rPr>
          <w:rFonts w:ascii="Calibri" w:hAnsi="Calibri" w:cs="Calibri"/>
          <w:bCs/>
          <w:sz w:val="18"/>
          <w:szCs w:val="18"/>
        </w:rPr>
        <w:t>g</w:t>
      </w:r>
      <w:proofErr w:type="spellEnd"/>
      <w:r w:rsidR="004B6E29">
        <w:rPr>
          <w:rFonts w:ascii="Calibri" w:hAnsi="Calibri" w:cs="Calibri"/>
          <w:bCs/>
          <w:sz w:val="18"/>
          <w:szCs w:val="18"/>
        </w:rPr>
        <w:t>.</w:t>
      </w:r>
      <w:r w:rsidRPr="00626310">
        <w:rPr>
          <w:rFonts w:ascii="Calibri" w:hAnsi="Calibri" w:cs="Calibri"/>
          <w:bCs/>
          <w:sz w:val="18"/>
          <w:szCs w:val="18"/>
        </w:rPr>
        <w:t>, 2017.</w:t>
      </w:r>
    </w:p>
    <w:p w14:paraId="4F10FBF1" w14:textId="77777777" w:rsidR="008D20BF" w:rsidRPr="00626310" w:rsidRDefault="008D20BF" w:rsidP="008D20BF">
      <w:pPr>
        <w:jc w:val="both"/>
        <w:rPr>
          <w:rFonts w:ascii="Calibri" w:hAnsi="Calibri" w:cs="Calibri"/>
          <w:bCs/>
          <w:sz w:val="18"/>
          <w:szCs w:val="18"/>
        </w:rPr>
      </w:pPr>
    </w:p>
    <w:p w14:paraId="599E38AC"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MOTTA, Diana; MATA, Daniel da. A importância da cidade média. </w:t>
      </w:r>
      <w:r w:rsidRPr="00626310">
        <w:rPr>
          <w:rFonts w:ascii="Calibri" w:hAnsi="Calibri" w:cs="Calibri"/>
          <w:b/>
          <w:sz w:val="18"/>
          <w:szCs w:val="18"/>
        </w:rPr>
        <w:t>Revista Desafios do Desenvolvimento</w:t>
      </w:r>
      <w:r w:rsidRPr="00626310">
        <w:rPr>
          <w:rFonts w:ascii="Calibri" w:hAnsi="Calibri" w:cs="Calibri"/>
          <w:bCs/>
          <w:sz w:val="18"/>
          <w:szCs w:val="18"/>
        </w:rPr>
        <w:t>, Instituto de Pesquisa Econômica Aplicada. Rio de Janeiro, ano 6, ed. 47, 2009.</w:t>
      </w:r>
    </w:p>
    <w:p w14:paraId="25F0FC72" w14:textId="77777777" w:rsidR="008D20BF" w:rsidRPr="00626310" w:rsidRDefault="008D20BF" w:rsidP="008D20BF">
      <w:pPr>
        <w:jc w:val="both"/>
        <w:rPr>
          <w:rFonts w:ascii="Calibri" w:hAnsi="Calibri" w:cs="Calibri"/>
          <w:bCs/>
          <w:sz w:val="18"/>
          <w:szCs w:val="18"/>
        </w:rPr>
      </w:pPr>
    </w:p>
    <w:p w14:paraId="291172B7" w14:textId="50F8A347" w:rsidR="008D20BF" w:rsidRPr="003741A2" w:rsidRDefault="008D20BF" w:rsidP="008D20BF">
      <w:pPr>
        <w:jc w:val="both"/>
        <w:rPr>
          <w:rFonts w:ascii="Calibri" w:hAnsi="Calibri" w:cs="Calibri"/>
          <w:bCs/>
          <w:sz w:val="18"/>
          <w:szCs w:val="18"/>
          <w:lang w:val="en-US"/>
        </w:rPr>
      </w:pPr>
      <w:r w:rsidRPr="00626310">
        <w:rPr>
          <w:rFonts w:ascii="Calibri" w:hAnsi="Calibri" w:cs="Calibri"/>
          <w:bCs/>
          <w:sz w:val="18"/>
          <w:szCs w:val="18"/>
        </w:rPr>
        <w:t xml:space="preserve">PERROUX, François. </w:t>
      </w:r>
      <w:r w:rsidRPr="00626310">
        <w:rPr>
          <w:rFonts w:ascii="Calibri" w:hAnsi="Calibri" w:cs="Calibri"/>
          <w:b/>
          <w:sz w:val="18"/>
          <w:szCs w:val="18"/>
        </w:rPr>
        <w:t>Ensaio sobre a filosofia do novo desenvolvimento</w:t>
      </w:r>
      <w:r w:rsidRPr="00626310">
        <w:rPr>
          <w:rFonts w:ascii="Calibri" w:hAnsi="Calibri" w:cs="Calibri"/>
          <w:bCs/>
          <w:sz w:val="18"/>
          <w:szCs w:val="18"/>
        </w:rPr>
        <w:t xml:space="preserve">. </w:t>
      </w:r>
      <w:r w:rsidR="00DD1A0B" w:rsidRPr="003741A2">
        <w:rPr>
          <w:rFonts w:ascii="Calibri" w:hAnsi="Calibri" w:cs="Calibri"/>
          <w:bCs/>
          <w:sz w:val="18"/>
          <w:szCs w:val="18"/>
          <w:lang w:val="en-US"/>
        </w:rPr>
        <w:t>Lisbon: Calouste Gulbenkian Publishing</w:t>
      </w:r>
      <w:r w:rsidRPr="003741A2">
        <w:rPr>
          <w:rFonts w:ascii="Calibri" w:hAnsi="Calibri" w:cs="Calibri"/>
          <w:bCs/>
          <w:sz w:val="18"/>
          <w:szCs w:val="18"/>
          <w:lang w:val="en-US"/>
        </w:rPr>
        <w:t>, 1981.</w:t>
      </w:r>
    </w:p>
    <w:p w14:paraId="1D6A8D08" w14:textId="77777777" w:rsidR="008D20BF" w:rsidRPr="003741A2" w:rsidRDefault="008D20BF" w:rsidP="008D20BF">
      <w:pPr>
        <w:jc w:val="both"/>
        <w:rPr>
          <w:rFonts w:ascii="Calibri" w:hAnsi="Calibri" w:cs="Calibri"/>
          <w:bCs/>
          <w:sz w:val="18"/>
          <w:szCs w:val="18"/>
          <w:lang w:val="en-US"/>
        </w:rPr>
      </w:pPr>
    </w:p>
    <w:p w14:paraId="1BB12860" w14:textId="77777777" w:rsidR="008D20BF" w:rsidRPr="00626310" w:rsidRDefault="008D20BF" w:rsidP="008D20BF">
      <w:pPr>
        <w:jc w:val="both"/>
        <w:rPr>
          <w:rFonts w:ascii="Calibri" w:hAnsi="Calibri" w:cs="Calibri"/>
          <w:bCs/>
          <w:sz w:val="18"/>
          <w:szCs w:val="18"/>
        </w:rPr>
      </w:pPr>
      <w:r w:rsidRPr="003741A2">
        <w:rPr>
          <w:rFonts w:ascii="Calibri" w:hAnsi="Calibri" w:cs="Calibri"/>
          <w:bCs/>
          <w:sz w:val="18"/>
          <w:szCs w:val="18"/>
          <w:lang w:val="en-US"/>
        </w:rPr>
        <w:t>PERROUX, François.</w:t>
      </w:r>
      <w:r w:rsidRPr="003741A2">
        <w:rPr>
          <w:rFonts w:ascii="Calibri" w:hAnsi="Calibri" w:cs="Calibri"/>
          <w:b/>
          <w:sz w:val="18"/>
          <w:szCs w:val="18"/>
          <w:lang w:val="en-US"/>
        </w:rPr>
        <w:t xml:space="preserve"> </w:t>
      </w:r>
      <w:proofErr w:type="spellStart"/>
      <w:r w:rsidRPr="003741A2">
        <w:rPr>
          <w:rFonts w:ascii="Calibri" w:hAnsi="Calibri" w:cs="Calibri"/>
          <w:b/>
          <w:sz w:val="18"/>
          <w:szCs w:val="18"/>
          <w:lang w:val="en-US"/>
        </w:rPr>
        <w:t>L’Économie</w:t>
      </w:r>
      <w:proofErr w:type="spellEnd"/>
      <w:r w:rsidRPr="003741A2">
        <w:rPr>
          <w:rFonts w:ascii="Calibri" w:hAnsi="Calibri" w:cs="Calibri"/>
          <w:b/>
          <w:sz w:val="18"/>
          <w:szCs w:val="18"/>
          <w:lang w:val="en-US"/>
        </w:rPr>
        <w:t xml:space="preserve"> du </w:t>
      </w:r>
      <w:proofErr w:type="spellStart"/>
      <w:r w:rsidRPr="003741A2">
        <w:rPr>
          <w:rFonts w:ascii="Calibri" w:hAnsi="Calibri" w:cs="Calibri"/>
          <w:b/>
          <w:sz w:val="18"/>
          <w:szCs w:val="18"/>
          <w:lang w:val="en-US"/>
        </w:rPr>
        <w:t>XXeme</w:t>
      </w:r>
      <w:proofErr w:type="spellEnd"/>
      <w:r w:rsidRPr="003741A2">
        <w:rPr>
          <w:rFonts w:ascii="Calibri" w:hAnsi="Calibri" w:cs="Calibri"/>
          <w:b/>
          <w:sz w:val="18"/>
          <w:szCs w:val="18"/>
          <w:lang w:val="en-US"/>
        </w:rPr>
        <w:t xml:space="preserve"> Siècle</w:t>
      </w:r>
      <w:r w:rsidRPr="003741A2">
        <w:rPr>
          <w:rFonts w:ascii="Calibri" w:hAnsi="Calibri" w:cs="Calibri"/>
          <w:bCs/>
          <w:sz w:val="18"/>
          <w:szCs w:val="18"/>
          <w:lang w:val="en-US"/>
        </w:rPr>
        <w:t xml:space="preserve">. </w:t>
      </w:r>
      <w:r w:rsidRPr="00626310">
        <w:rPr>
          <w:rFonts w:ascii="Calibri" w:hAnsi="Calibri" w:cs="Calibri"/>
          <w:bCs/>
          <w:sz w:val="18"/>
          <w:szCs w:val="18"/>
        </w:rPr>
        <w:t xml:space="preserve">Paris, </w:t>
      </w:r>
      <w:proofErr w:type="spellStart"/>
      <w:r w:rsidRPr="00626310">
        <w:rPr>
          <w:rFonts w:ascii="Calibri" w:hAnsi="Calibri" w:cs="Calibri"/>
          <w:bCs/>
          <w:sz w:val="18"/>
          <w:szCs w:val="18"/>
        </w:rPr>
        <w:t>Presses</w:t>
      </w:r>
      <w:proofErr w:type="spellEnd"/>
      <w:r w:rsidRPr="00626310">
        <w:rPr>
          <w:rFonts w:ascii="Calibri" w:hAnsi="Calibri" w:cs="Calibri"/>
          <w:bCs/>
          <w:sz w:val="18"/>
          <w:szCs w:val="18"/>
        </w:rPr>
        <w:t xml:space="preserve"> </w:t>
      </w:r>
      <w:proofErr w:type="spellStart"/>
      <w:r w:rsidRPr="00626310">
        <w:rPr>
          <w:rFonts w:ascii="Calibri" w:hAnsi="Calibri" w:cs="Calibri"/>
          <w:bCs/>
          <w:sz w:val="18"/>
          <w:szCs w:val="18"/>
        </w:rPr>
        <w:t>Universitaires</w:t>
      </w:r>
      <w:proofErr w:type="spellEnd"/>
      <w:r w:rsidRPr="00626310">
        <w:rPr>
          <w:rFonts w:ascii="Calibri" w:hAnsi="Calibri" w:cs="Calibri"/>
          <w:bCs/>
          <w:sz w:val="18"/>
          <w:szCs w:val="18"/>
        </w:rPr>
        <w:t xml:space="preserve"> de France, 1961.</w:t>
      </w:r>
    </w:p>
    <w:p w14:paraId="7666B4C0" w14:textId="77777777" w:rsidR="008D20BF" w:rsidRPr="00626310" w:rsidRDefault="008D20BF" w:rsidP="008D20BF">
      <w:pPr>
        <w:jc w:val="both"/>
        <w:rPr>
          <w:rFonts w:ascii="Calibri" w:hAnsi="Calibri" w:cs="Calibri"/>
          <w:bCs/>
          <w:sz w:val="18"/>
          <w:szCs w:val="18"/>
        </w:rPr>
      </w:pPr>
    </w:p>
    <w:p w14:paraId="5D312DB3"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RICHARDSON, H</w:t>
      </w:r>
      <w:r>
        <w:rPr>
          <w:rFonts w:ascii="Calibri" w:hAnsi="Calibri" w:cs="Calibri"/>
          <w:bCs/>
          <w:sz w:val="18"/>
          <w:szCs w:val="18"/>
        </w:rPr>
        <w:t xml:space="preserve">arry </w:t>
      </w:r>
      <w:r w:rsidRPr="00626310">
        <w:rPr>
          <w:rFonts w:ascii="Calibri" w:hAnsi="Calibri" w:cs="Calibri"/>
          <w:bCs/>
          <w:sz w:val="18"/>
          <w:szCs w:val="18"/>
        </w:rPr>
        <w:t xml:space="preserve">W. </w:t>
      </w:r>
      <w:r w:rsidRPr="00626310">
        <w:rPr>
          <w:rFonts w:ascii="Calibri" w:hAnsi="Calibri" w:cs="Calibri"/>
          <w:b/>
          <w:sz w:val="18"/>
          <w:szCs w:val="18"/>
        </w:rPr>
        <w:t>Economia Regional</w:t>
      </w:r>
      <w:r w:rsidRPr="00626310">
        <w:rPr>
          <w:rFonts w:ascii="Calibri" w:hAnsi="Calibri" w:cs="Calibri"/>
          <w:bCs/>
          <w:sz w:val="18"/>
          <w:szCs w:val="18"/>
        </w:rPr>
        <w:t>: Teoria da localização, estrutura urbana e crescimento regional. Rio de Janeiro: Zahar, 1975.</w:t>
      </w:r>
    </w:p>
    <w:p w14:paraId="42B300EC" w14:textId="77777777" w:rsidR="008D20BF" w:rsidRPr="00626310" w:rsidRDefault="008D20BF" w:rsidP="008D20BF">
      <w:pPr>
        <w:jc w:val="both"/>
        <w:rPr>
          <w:rFonts w:ascii="Calibri" w:hAnsi="Calibri" w:cs="Calibri"/>
          <w:bCs/>
          <w:sz w:val="18"/>
          <w:szCs w:val="18"/>
        </w:rPr>
      </w:pPr>
    </w:p>
    <w:p w14:paraId="68372FDB"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R</w:t>
      </w:r>
      <w:r>
        <w:rPr>
          <w:rFonts w:ascii="Calibri" w:hAnsi="Calibri" w:cs="Calibri"/>
          <w:bCs/>
          <w:sz w:val="18"/>
          <w:szCs w:val="18"/>
        </w:rPr>
        <w:t>IPPEL</w:t>
      </w:r>
      <w:r w:rsidRPr="00626310">
        <w:rPr>
          <w:rFonts w:ascii="Calibri" w:hAnsi="Calibri" w:cs="Calibri"/>
          <w:bCs/>
          <w:sz w:val="18"/>
          <w:szCs w:val="18"/>
        </w:rPr>
        <w:t>, Ricardo; L</w:t>
      </w:r>
      <w:r>
        <w:rPr>
          <w:rFonts w:ascii="Calibri" w:hAnsi="Calibri" w:cs="Calibri"/>
          <w:bCs/>
          <w:sz w:val="18"/>
          <w:szCs w:val="18"/>
        </w:rPr>
        <w:t>IMA,</w:t>
      </w:r>
      <w:r w:rsidRPr="00626310">
        <w:rPr>
          <w:rFonts w:ascii="Calibri" w:hAnsi="Calibri" w:cs="Calibri"/>
          <w:bCs/>
          <w:sz w:val="18"/>
          <w:szCs w:val="18"/>
        </w:rPr>
        <w:t xml:space="preserve"> Jandir Ferrera de. Polos de crescimento econômico: notas sobre o caso do estado do Paraná. </w:t>
      </w:r>
      <w:r w:rsidRPr="00626310">
        <w:rPr>
          <w:rFonts w:ascii="Calibri" w:hAnsi="Calibri" w:cs="Calibri"/>
          <w:b/>
          <w:sz w:val="18"/>
          <w:szCs w:val="18"/>
        </w:rPr>
        <w:t>REDES</w:t>
      </w:r>
      <w:r w:rsidRPr="00626310">
        <w:rPr>
          <w:rFonts w:ascii="Calibri" w:hAnsi="Calibri" w:cs="Calibri"/>
          <w:bCs/>
          <w:sz w:val="18"/>
          <w:szCs w:val="18"/>
        </w:rPr>
        <w:t>, Santa Cruz do Sul, v. 14, n. 1, p. 136 - 149, jan./abr. 2009.</w:t>
      </w:r>
    </w:p>
    <w:p w14:paraId="2833C166" w14:textId="77777777" w:rsidR="008D20BF" w:rsidRPr="00626310" w:rsidRDefault="008D20BF" w:rsidP="008D20BF">
      <w:pPr>
        <w:jc w:val="both"/>
        <w:rPr>
          <w:rFonts w:ascii="Calibri" w:hAnsi="Calibri" w:cs="Calibri"/>
          <w:bCs/>
          <w:sz w:val="18"/>
          <w:szCs w:val="18"/>
        </w:rPr>
      </w:pPr>
    </w:p>
    <w:p w14:paraId="648F1B8D" w14:textId="77777777" w:rsidR="008D20BF" w:rsidRPr="002F1C78" w:rsidRDefault="008D20BF" w:rsidP="008D20BF">
      <w:pPr>
        <w:jc w:val="both"/>
        <w:rPr>
          <w:rFonts w:ascii="Calibri" w:hAnsi="Calibri" w:cs="Calibri"/>
          <w:bCs/>
          <w:sz w:val="18"/>
          <w:szCs w:val="18"/>
          <w:lang w:val="en-US"/>
        </w:rPr>
      </w:pPr>
      <w:r w:rsidRPr="00626310">
        <w:rPr>
          <w:rFonts w:ascii="Calibri" w:hAnsi="Calibri" w:cs="Calibri"/>
          <w:bCs/>
          <w:sz w:val="18"/>
          <w:szCs w:val="18"/>
          <w:lang w:val="en-US"/>
        </w:rPr>
        <w:t>S</w:t>
      </w:r>
      <w:r>
        <w:rPr>
          <w:rFonts w:ascii="Calibri" w:hAnsi="Calibri" w:cs="Calibri"/>
          <w:bCs/>
          <w:sz w:val="18"/>
          <w:szCs w:val="18"/>
          <w:lang w:val="en-US"/>
        </w:rPr>
        <w:t>ANDRETTO</w:t>
      </w:r>
      <w:r w:rsidRPr="00626310">
        <w:rPr>
          <w:rFonts w:ascii="Calibri" w:hAnsi="Calibri" w:cs="Calibri"/>
          <w:bCs/>
          <w:sz w:val="18"/>
          <w:szCs w:val="18"/>
          <w:lang w:val="en-US"/>
        </w:rPr>
        <w:t xml:space="preserve">, René. François Perroux, a precursor of the current analyses of power. </w:t>
      </w:r>
      <w:r w:rsidRPr="002F1C78">
        <w:rPr>
          <w:rFonts w:ascii="Calibri" w:hAnsi="Calibri" w:cs="Calibri"/>
          <w:b/>
          <w:sz w:val="18"/>
          <w:szCs w:val="18"/>
          <w:lang w:val="en-US"/>
        </w:rPr>
        <w:t>The Journal of World Economic Review</w:t>
      </w:r>
      <w:r w:rsidRPr="002F1C78">
        <w:rPr>
          <w:rFonts w:ascii="Calibri" w:hAnsi="Calibri" w:cs="Calibri"/>
          <w:bCs/>
          <w:sz w:val="18"/>
          <w:szCs w:val="18"/>
          <w:lang w:val="en-US"/>
        </w:rPr>
        <w:t>, 2009, 5 (1), pp. 57-68.</w:t>
      </w:r>
    </w:p>
    <w:p w14:paraId="6120E496" w14:textId="77777777" w:rsidR="008D20BF" w:rsidRPr="002F1C78" w:rsidRDefault="008D20BF" w:rsidP="008D20BF">
      <w:pPr>
        <w:jc w:val="both"/>
        <w:rPr>
          <w:rFonts w:ascii="Calibri" w:hAnsi="Calibri" w:cs="Calibri"/>
          <w:bCs/>
          <w:sz w:val="18"/>
          <w:szCs w:val="18"/>
          <w:lang w:val="en-US"/>
        </w:rPr>
      </w:pPr>
    </w:p>
    <w:p w14:paraId="45EE2BB4" w14:textId="2EE43CEE" w:rsidR="008D20BF" w:rsidRPr="00F6649F" w:rsidRDefault="008D20BF" w:rsidP="008D20BF">
      <w:pPr>
        <w:jc w:val="both"/>
        <w:rPr>
          <w:rFonts w:ascii="Calibri" w:hAnsi="Calibri" w:cs="Calibri"/>
          <w:bCs/>
          <w:sz w:val="18"/>
          <w:szCs w:val="18"/>
        </w:rPr>
      </w:pPr>
      <w:r w:rsidRPr="002F1C78">
        <w:rPr>
          <w:rFonts w:ascii="Calibri" w:hAnsi="Calibri" w:cs="Calibri"/>
          <w:bCs/>
          <w:sz w:val="18"/>
          <w:szCs w:val="18"/>
          <w:lang w:val="en-US"/>
        </w:rPr>
        <w:t xml:space="preserve">SANTOS, Milton. </w:t>
      </w:r>
      <w:r w:rsidRPr="002F1C78">
        <w:rPr>
          <w:rFonts w:ascii="Calibri" w:hAnsi="Calibri" w:cs="Calibri"/>
          <w:b/>
          <w:sz w:val="18"/>
          <w:szCs w:val="18"/>
          <w:lang w:val="en-US"/>
        </w:rPr>
        <w:t xml:space="preserve">A </w:t>
      </w:r>
      <w:proofErr w:type="spellStart"/>
      <w:r w:rsidRPr="002F1C78">
        <w:rPr>
          <w:rFonts w:ascii="Calibri" w:hAnsi="Calibri" w:cs="Calibri"/>
          <w:b/>
          <w:sz w:val="18"/>
          <w:szCs w:val="18"/>
          <w:lang w:val="en-US"/>
        </w:rPr>
        <w:t>urbanização</w:t>
      </w:r>
      <w:proofErr w:type="spellEnd"/>
      <w:r w:rsidRPr="002F1C78">
        <w:rPr>
          <w:rFonts w:ascii="Calibri" w:hAnsi="Calibri" w:cs="Calibri"/>
          <w:b/>
          <w:sz w:val="18"/>
          <w:szCs w:val="18"/>
          <w:lang w:val="en-US"/>
        </w:rPr>
        <w:t xml:space="preserve"> </w:t>
      </w:r>
      <w:proofErr w:type="spellStart"/>
      <w:r w:rsidRPr="002F1C78">
        <w:rPr>
          <w:rFonts w:ascii="Calibri" w:hAnsi="Calibri" w:cs="Calibri"/>
          <w:b/>
          <w:sz w:val="18"/>
          <w:szCs w:val="18"/>
          <w:lang w:val="en-US"/>
        </w:rPr>
        <w:t>brasileira</w:t>
      </w:r>
      <w:proofErr w:type="spellEnd"/>
      <w:r w:rsidRPr="002F1C78">
        <w:rPr>
          <w:rFonts w:ascii="Calibri" w:hAnsi="Calibri" w:cs="Calibri"/>
          <w:bCs/>
          <w:sz w:val="18"/>
          <w:szCs w:val="18"/>
          <w:lang w:val="en-US"/>
        </w:rPr>
        <w:t xml:space="preserve">. </w:t>
      </w:r>
      <w:r w:rsidR="00804C39" w:rsidRPr="002770AB">
        <w:rPr>
          <w:rFonts w:ascii="Calibri" w:hAnsi="Calibri" w:cs="Calibri"/>
          <w:bCs/>
          <w:sz w:val="18"/>
          <w:szCs w:val="18"/>
          <w:lang w:val="en-US"/>
        </w:rPr>
        <w:t xml:space="preserve">5th edition. </w:t>
      </w:r>
      <w:r w:rsidR="00804C39" w:rsidRPr="00F6649F">
        <w:rPr>
          <w:rFonts w:ascii="Calibri" w:hAnsi="Calibri" w:cs="Calibri"/>
          <w:bCs/>
          <w:sz w:val="18"/>
          <w:szCs w:val="18"/>
        </w:rPr>
        <w:t xml:space="preserve">São Paulo: </w:t>
      </w:r>
      <w:proofErr w:type="spellStart"/>
      <w:r w:rsidR="00804C39" w:rsidRPr="00F6649F">
        <w:rPr>
          <w:rFonts w:ascii="Calibri" w:hAnsi="Calibri" w:cs="Calibri"/>
          <w:bCs/>
          <w:sz w:val="18"/>
          <w:szCs w:val="18"/>
        </w:rPr>
        <w:t>University</w:t>
      </w:r>
      <w:proofErr w:type="spellEnd"/>
      <w:r w:rsidR="00804C39" w:rsidRPr="00F6649F">
        <w:rPr>
          <w:rFonts w:ascii="Calibri" w:hAnsi="Calibri" w:cs="Calibri"/>
          <w:bCs/>
          <w:sz w:val="18"/>
          <w:szCs w:val="18"/>
        </w:rPr>
        <w:t xml:space="preserve"> </w:t>
      </w:r>
      <w:proofErr w:type="spellStart"/>
      <w:r w:rsidR="00804C39" w:rsidRPr="00F6649F">
        <w:rPr>
          <w:rFonts w:ascii="Calibri" w:hAnsi="Calibri" w:cs="Calibri"/>
          <w:bCs/>
          <w:sz w:val="18"/>
          <w:szCs w:val="18"/>
        </w:rPr>
        <w:t>of</w:t>
      </w:r>
      <w:proofErr w:type="spellEnd"/>
      <w:r w:rsidR="00804C39" w:rsidRPr="00F6649F">
        <w:rPr>
          <w:rFonts w:ascii="Calibri" w:hAnsi="Calibri" w:cs="Calibri"/>
          <w:bCs/>
          <w:sz w:val="18"/>
          <w:szCs w:val="18"/>
        </w:rPr>
        <w:t xml:space="preserve"> São Paulo Press</w:t>
      </w:r>
      <w:r w:rsidRPr="00F6649F">
        <w:rPr>
          <w:rFonts w:ascii="Calibri" w:hAnsi="Calibri" w:cs="Calibri"/>
          <w:bCs/>
          <w:sz w:val="18"/>
          <w:szCs w:val="18"/>
        </w:rPr>
        <w:t>, 2005.</w:t>
      </w:r>
    </w:p>
    <w:p w14:paraId="5D0F70BB" w14:textId="77777777" w:rsidR="008D20BF" w:rsidRPr="00F6649F" w:rsidRDefault="008D20BF" w:rsidP="008D20BF">
      <w:pPr>
        <w:jc w:val="both"/>
        <w:rPr>
          <w:rFonts w:ascii="Calibri" w:hAnsi="Calibri" w:cs="Calibri"/>
          <w:bCs/>
          <w:sz w:val="18"/>
          <w:szCs w:val="18"/>
        </w:rPr>
      </w:pPr>
    </w:p>
    <w:p w14:paraId="11CF8663" w14:textId="5A184AB3" w:rsidR="008D20BF" w:rsidRPr="00F6649F" w:rsidRDefault="008D20BF" w:rsidP="008D20BF">
      <w:pPr>
        <w:jc w:val="both"/>
        <w:rPr>
          <w:rFonts w:ascii="Calibri" w:hAnsi="Calibri" w:cs="Calibri"/>
          <w:bCs/>
          <w:sz w:val="18"/>
          <w:szCs w:val="18"/>
          <w:lang w:val="en-US"/>
        </w:rPr>
      </w:pPr>
      <w:r w:rsidRPr="00626310">
        <w:rPr>
          <w:rFonts w:ascii="Calibri" w:hAnsi="Calibri" w:cs="Calibri"/>
          <w:bCs/>
          <w:sz w:val="18"/>
          <w:szCs w:val="18"/>
        </w:rPr>
        <w:t xml:space="preserve">SANTOS, Milton. </w:t>
      </w:r>
      <w:r w:rsidRPr="00626310">
        <w:rPr>
          <w:rFonts w:ascii="Calibri" w:hAnsi="Calibri" w:cs="Calibri"/>
          <w:b/>
          <w:sz w:val="18"/>
          <w:szCs w:val="18"/>
        </w:rPr>
        <w:t>Economia Espacial</w:t>
      </w:r>
      <w:r w:rsidRPr="00626310">
        <w:rPr>
          <w:rFonts w:ascii="Calibri" w:hAnsi="Calibri" w:cs="Calibri"/>
          <w:bCs/>
          <w:sz w:val="18"/>
          <w:szCs w:val="18"/>
        </w:rPr>
        <w:t xml:space="preserve">: Críticas e Alternativas. </w:t>
      </w:r>
      <w:r w:rsidR="002770AB" w:rsidRPr="00F6649F">
        <w:rPr>
          <w:rFonts w:ascii="Calibri" w:hAnsi="Calibri" w:cs="Calibri"/>
          <w:bCs/>
          <w:sz w:val="18"/>
          <w:szCs w:val="18"/>
          <w:lang w:val="en-US"/>
        </w:rPr>
        <w:t>2nd edition. 2nd reprint. São Paulo: University of São Paulo Press, 2011.</w:t>
      </w:r>
    </w:p>
    <w:p w14:paraId="46FC8588" w14:textId="77777777" w:rsidR="002770AB" w:rsidRPr="00F6649F" w:rsidRDefault="002770AB" w:rsidP="008D20BF">
      <w:pPr>
        <w:jc w:val="both"/>
        <w:rPr>
          <w:rFonts w:ascii="Calibri" w:hAnsi="Calibri" w:cs="Calibri"/>
          <w:bCs/>
          <w:sz w:val="18"/>
          <w:szCs w:val="18"/>
          <w:lang w:val="en-US"/>
        </w:rPr>
      </w:pPr>
    </w:p>
    <w:p w14:paraId="61634AB2" w14:textId="3B191D95"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SANTOS, Milton. </w:t>
      </w:r>
      <w:r w:rsidRPr="00626310">
        <w:rPr>
          <w:rFonts w:ascii="Calibri" w:hAnsi="Calibri" w:cs="Calibri"/>
          <w:b/>
          <w:sz w:val="18"/>
          <w:szCs w:val="18"/>
        </w:rPr>
        <w:t>Espaço e sociedade</w:t>
      </w:r>
      <w:r w:rsidRPr="00626310">
        <w:rPr>
          <w:rFonts w:ascii="Calibri" w:hAnsi="Calibri" w:cs="Calibri"/>
          <w:bCs/>
          <w:sz w:val="18"/>
          <w:szCs w:val="18"/>
        </w:rPr>
        <w:t>: ensaios. Petrópolis: Vozes, 1979. p.</w:t>
      </w:r>
      <w:r w:rsidR="00697FF1">
        <w:rPr>
          <w:rFonts w:ascii="Calibri" w:hAnsi="Calibri" w:cs="Calibri"/>
          <w:bCs/>
          <w:sz w:val="18"/>
          <w:szCs w:val="18"/>
        </w:rPr>
        <w:t xml:space="preserve"> </w:t>
      </w:r>
      <w:r w:rsidRPr="00626310">
        <w:rPr>
          <w:rFonts w:ascii="Calibri" w:hAnsi="Calibri" w:cs="Calibri"/>
          <w:bCs/>
          <w:sz w:val="18"/>
          <w:szCs w:val="18"/>
        </w:rPr>
        <w:t>69-75.</w:t>
      </w:r>
    </w:p>
    <w:p w14:paraId="39357A7D" w14:textId="77777777" w:rsidR="008D20BF" w:rsidRPr="00626310" w:rsidRDefault="008D20BF" w:rsidP="008D20BF">
      <w:pPr>
        <w:jc w:val="both"/>
        <w:rPr>
          <w:rFonts w:ascii="Calibri" w:hAnsi="Calibri" w:cs="Calibri"/>
          <w:bCs/>
          <w:sz w:val="18"/>
          <w:szCs w:val="18"/>
        </w:rPr>
      </w:pPr>
    </w:p>
    <w:p w14:paraId="53A8CF7F" w14:textId="416C847E" w:rsidR="008D20BF" w:rsidRPr="00AA4B04" w:rsidRDefault="008D20BF" w:rsidP="008D20BF">
      <w:pPr>
        <w:jc w:val="both"/>
        <w:rPr>
          <w:rFonts w:ascii="Calibri" w:hAnsi="Calibri" w:cs="Calibri"/>
          <w:bCs/>
          <w:sz w:val="18"/>
          <w:szCs w:val="18"/>
          <w:lang w:val="en-US"/>
        </w:rPr>
      </w:pPr>
      <w:r w:rsidRPr="00626310">
        <w:rPr>
          <w:rFonts w:ascii="Calibri" w:hAnsi="Calibri" w:cs="Calibri"/>
          <w:bCs/>
          <w:sz w:val="18"/>
          <w:szCs w:val="18"/>
        </w:rPr>
        <w:t xml:space="preserve">SANTOS, Milton. </w:t>
      </w:r>
      <w:r w:rsidRPr="00626310">
        <w:rPr>
          <w:rFonts w:ascii="Calibri" w:hAnsi="Calibri" w:cs="Calibri"/>
          <w:b/>
          <w:sz w:val="18"/>
          <w:szCs w:val="18"/>
        </w:rPr>
        <w:t>Técnica, espaço, tempo</w:t>
      </w:r>
      <w:r w:rsidRPr="00626310">
        <w:rPr>
          <w:rFonts w:ascii="Calibri" w:hAnsi="Calibri" w:cs="Calibri"/>
          <w:bCs/>
          <w:sz w:val="18"/>
          <w:szCs w:val="18"/>
        </w:rPr>
        <w:t xml:space="preserve">: globalização e meio técnico-científico. </w:t>
      </w:r>
      <w:r w:rsidRPr="00AA4B04">
        <w:rPr>
          <w:rFonts w:ascii="Calibri" w:hAnsi="Calibri" w:cs="Calibri"/>
          <w:bCs/>
          <w:sz w:val="18"/>
          <w:szCs w:val="18"/>
          <w:lang w:val="en-US"/>
        </w:rPr>
        <w:t>5</w:t>
      </w:r>
      <w:r w:rsidR="002770AB">
        <w:rPr>
          <w:rFonts w:ascii="Calibri" w:hAnsi="Calibri" w:cs="Calibri"/>
          <w:bCs/>
          <w:sz w:val="18"/>
          <w:szCs w:val="18"/>
          <w:lang w:val="en-US"/>
        </w:rPr>
        <w:t>th</w:t>
      </w:r>
      <w:r w:rsidRPr="00AA4B04">
        <w:rPr>
          <w:rFonts w:ascii="Calibri" w:hAnsi="Calibri" w:cs="Calibri"/>
          <w:bCs/>
          <w:sz w:val="18"/>
          <w:szCs w:val="18"/>
          <w:lang w:val="en-US"/>
        </w:rPr>
        <w:t xml:space="preserve">. São Paulo: </w:t>
      </w:r>
      <w:proofErr w:type="spellStart"/>
      <w:r w:rsidRPr="00AA4B04">
        <w:rPr>
          <w:rFonts w:ascii="Calibri" w:hAnsi="Calibri" w:cs="Calibri"/>
          <w:bCs/>
          <w:sz w:val="18"/>
          <w:szCs w:val="18"/>
          <w:lang w:val="en-US"/>
        </w:rPr>
        <w:t>Edusp</w:t>
      </w:r>
      <w:proofErr w:type="spellEnd"/>
      <w:r w:rsidRPr="00AA4B04">
        <w:rPr>
          <w:rFonts w:ascii="Calibri" w:hAnsi="Calibri" w:cs="Calibri"/>
          <w:bCs/>
          <w:sz w:val="18"/>
          <w:szCs w:val="18"/>
          <w:lang w:val="en-US"/>
        </w:rPr>
        <w:t>, 2008.</w:t>
      </w:r>
    </w:p>
    <w:p w14:paraId="0E2D1CEC" w14:textId="77777777" w:rsidR="008D20BF" w:rsidRPr="00AA4B04" w:rsidRDefault="008D20BF" w:rsidP="008D20BF">
      <w:pPr>
        <w:jc w:val="both"/>
        <w:rPr>
          <w:rFonts w:ascii="Calibri" w:hAnsi="Calibri" w:cs="Calibri"/>
          <w:bCs/>
          <w:sz w:val="18"/>
          <w:szCs w:val="18"/>
          <w:lang w:val="en-US"/>
        </w:rPr>
      </w:pPr>
    </w:p>
    <w:p w14:paraId="73BB3EC8" w14:textId="77777777" w:rsidR="008D20BF" w:rsidRPr="00626310" w:rsidRDefault="008D20BF" w:rsidP="008D20BF">
      <w:pPr>
        <w:jc w:val="both"/>
        <w:rPr>
          <w:rFonts w:ascii="Calibri" w:hAnsi="Calibri" w:cs="Calibri"/>
          <w:bCs/>
          <w:sz w:val="18"/>
          <w:szCs w:val="18"/>
        </w:rPr>
      </w:pPr>
      <w:r w:rsidRPr="00AA4B04">
        <w:rPr>
          <w:rFonts w:ascii="Calibri" w:hAnsi="Calibri" w:cs="Calibri"/>
          <w:bCs/>
          <w:sz w:val="18"/>
          <w:szCs w:val="18"/>
          <w:lang w:val="en-US"/>
        </w:rPr>
        <w:lastRenderedPageBreak/>
        <w:t xml:space="preserve">SCOTT, Allen; AGNEW, John; SOJA, Edward; STORPER, Michael. </w:t>
      </w:r>
      <w:r>
        <w:rPr>
          <w:rFonts w:ascii="Calibri" w:hAnsi="Calibri" w:cs="Calibri"/>
          <w:bCs/>
          <w:sz w:val="18"/>
          <w:szCs w:val="18"/>
        </w:rPr>
        <w:t xml:space="preserve">Cidades-Regiões Globais. </w:t>
      </w:r>
      <w:r w:rsidRPr="00435797">
        <w:rPr>
          <w:rFonts w:ascii="Calibri" w:hAnsi="Calibri" w:cs="Calibri"/>
          <w:b/>
          <w:sz w:val="18"/>
          <w:szCs w:val="18"/>
        </w:rPr>
        <w:t>Espaço &amp; Debates</w:t>
      </w:r>
      <w:r>
        <w:rPr>
          <w:rFonts w:ascii="Calibri" w:hAnsi="Calibri" w:cs="Calibri"/>
          <w:bCs/>
          <w:sz w:val="18"/>
          <w:szCs w:val="18"/>
        </w:rPr>
        <w:t>, n. 41, 2001.</w:t>
      </w:r>
    </w:p>
    <w:p w14:paraId="71646F92" w14:textId="77777777" w:rsidR="008D20BF" w:rsidRPr="00626310" w:rsidRDefault="008D20BF" w:rsidP="008D20BF">
      <w:pPr>
        <w:jc w:val="both"/>
        <w:rPr>
          <w:rFonts w:ascii="Calibri" w:hAnsi="Calibri" w:cs="Calibri"/>
          <w:bCs/>
          <w:sz w:val="18"/>
          <w:szCs w:val="18"/>
        </w:rPr>
      </w:pPr>
    </w:p>
    <w:p w14:paraId="35192A0D"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SILVA, Andresa Lourenço da. Breve discussão sobre o conceito de cidade média. </w:t>
      </w:r>
      <w:proofErr w:type="spellStart"/>
      <w:r w:rsidRPr="00626310">
        <w:rPr>
          <w:rFonts w:ascii="Calibri" w:hAnsi="Calibri" w:cs="Calibri"/>
          <w:b/>
          <w:sz w:val="18"/>
          <w:szCs w:val="18"/>
        </w:rPr>
        <w:t>Geoingá</w:t>
      </w:r>
      <w:proofErr w:type="spellEnd"/>
      <w:r w:rsidRPr="00626310">
        <w:rPr>
          <w:rFonts w:ascii="Calibri" w:hAnsi="Calibri" w:cs="Calibri"/>
          <w:bCs/>
          <w:sz w:val="18"/>
          <w:szCs w:val="18"/>
        </w:rPr>
        <w:t>: Revista do Programa de Pós-Graduação em Geografia. Maringá: v. 5, n. 1, 2013, p. 58-76.</w:t>
      </w:r>
    </w:p>
    <w:p w14:paraId="216F11DC" w14:textId="77777777" w:rsidR="008D20BF" w:rsidRPr="00626310" w:rsidRDefault="008D20BF" w:rsidP="008D20BF">
      <w:pPr>
        <w:jc w:val="both"/>
        <w:rPr>
          <w:rFonts w:ascii="Calibri" w:hAnsi="Calibri" w:cs="Calibri"/>
          <w:bCs/>
          <w:sz w:val="18"/>
          <w:szCs w:val="18"/>
        </w:rPr>
      </w:pPr>
    </w:p>
    <w:p w14:paraId="3D0CF64B" w14:textId="4D90B34C"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SILVA, Josemar Raimundo da; RIPPEL, Ricardo; LIMA, Jandir Ferrera de. A teoria dos polos de crescimento de François Perroux. </w:t>
      </w:r>
      <w:r w:rsidRPr="00626310">
        <w:rPr>
          <w:rFonts w:ascii="Calibri" w:hAnsi="Calibri" w:cs="Calibri"/>
          <w:b/>
          <w:sz w:val="18"/>
          <w:szCs w:val="18"/>
        </w:rPr>
        <w:t>Revista Cadernos de Economia</w:t>
      </w:r>
      <w:r w:rsidRPr="00626310">
        <w:rPr>
          <w:rFonts w:ascii="Calibri" w:hAnsi="Calibri" w:cs="Calibri"/>
          <w:bCs/>
          <w:sz w:val="18"/>
          <w:szCs w:val="18"/>
        </w:rPr>
        <w:t>, v. 4, n. 7, 2000, p.</w:t>
      </w:r>
      <w:r w:rsidR="00697FF1">
        <w:rPr>
          <w:rFonts w:ascii="Calibri" w:hAnsi="Calibri" w:cs="Calibri"/>
          <w:bCs/>
          <w:sz w:val="18"/>
          <w:szCs w:val="18"/>
        </w:rPr>
        <w:t xml:space="preserve"> </w:t>
      </w:r>
      <w:r w:rsidRPr="00626310">
        <w:rPr>
          <w:rFonts w:ascii="Calibri" w:hAnsi="Calibri" w:cs="Calibri"/>
          <w:bCs/>
          <w:sz w:val="18"/>
          <w:szCs w:val="18"/>
        </w:rPr>
        <w:t>75-96.</w:t>
      </w:r>
    </w:p>
    <w:p w14:paraId="35517F20" w14:textId="77777777" w:rsidR="008D20BF" w:rsidRPr="00626310" w:rsidRDefault="008D20BF" w:rsidP="008D20BF">
      <w:pPr>
        <w:jc w:val="both"/>
        <w:rPr>
          <w:rFonts w:ascii="Calibri" w:hAnsi="Calibri" w:cs="Calibri"/>
          <w:bCs/>
          <w:sz w:val="18"/>
          <w:szCs w:val="18"/>
        </w:rPr>
      </w:pPr>
    </w:p>
    <w:p w14:paraId="3D266298" w14:textId="27F6FFBA" w:rsidR="00C35E6F" w:rsidRPr="002F2AAC" w:rsidRDefault="008D20BF" w:rsidP="008D20BF">
      <w:pPr>
        <w:jc w:val="both"/>
        <w:rPr>
          <w:rFonts w:asciiTheme="minorHAnsi" w:hAnsiTheme="minorHAnsi" w:cstheme="minorHAnsi"/>
          <w:sz w:val="22"/>
          <w:szCs w:val="22"/>
        </w:rPr>
      </w:pPr>
      <w:r w:rsidRPr="00626310">
        <w:rPr>
          <w:rFonts w:ascii="Calibri" w:hAnsi="Calibri" w:cs="Calibri"/>
          <w:bCs/>
          <w:sz w:val="18"/>
          <w:szCs w:val="18"/>
        </w:rPr>
        <w:t>SIMMEL, Georg. A metrópole e a vida mental; tradução Sérgio Marques dos Reis. In: VELHO, Otávio Guilherme (</w:t>
      </w:r>
      <w:proofErr w:type="spellStart"/>
      <w:r w:rsidR="002770AB">
        <w:rPr>
          <w:rFonts w:ascii="Calibri" w:hAnsi="Calibri" w:cs="Calibri"/>
          <w:bCs/>
          <w:sz w:val="18"/>
          <w:szCs w:val="18"/>
        </w:rPr>
        <w:t>edt</w:t>
      </w:r>
      <w:proofErr w:type="spellEnd"/>
      <w:r w:rsidRPr="00626310">
        <w:rPr>
          <w:rFonts w:ascii="Calibri" w:hAnsi="Calibri" w:cs="Calibri"/>
          <w:bCs/>
          <w:sz w:val="18"/>
          <w:szCs w:val="18"/>
        </w:rPr>
        <w:t xml:space="preserve">.). </w:t>
      </w:r>
      <w:r w:rsidRPr="00626310">
        <w:rPr>
          <w:rFonts w:ascii="Calibri" w:hAnsi="Calibri" w:cs="Calibri"/>
          <w:b/>
          <w:sz w:val="18"/>
          <w:szCs w:val="18"/>
        </w:rPr>
        <w:t>O Fenômeno Urbano</w:t>
      </w:r>
      <w:r w:rsidRPr="00626310">
        <w:rPr>
          <w:rFonts w:ascii="Calibri" w:hAnsi="Calibri" w:cs="Calibri"/>
          <w:bCs/>
          <w:sz w:val="18"/>
          <w:szCs w:val="18"/>
        </w:rPr>
        <w:t>. 2</w:t>
      </w:r>
      <w:r w:rsidR="00870028">
        <w:rPr>
          <w:rFonts w:ascii="Calibri" w:hAnsi="Calibri" w:cs="Calibri"/>
          <w:bCs/>
          <w:sz w:val="18"/>
          <w:szCs w:val="18"/>
        </w:rPr>
        <w:t xml:space="preserve">nd </w:t>
      </w:r>
      <w:proofErr w:type="spellStart"/>
      <w:r w:rsidR="00697FF1">
        <w:rPr>
          <w:rFonts w:ascii="Calibri" w:hAnsi="Calibri" w:cs="Calibri"/>
          <w:bCs/>
          <w:sz w:val="18"/>
          <w:szCs w:val="18"/>
        </w:rPr>
        <w:t>edition</w:t>
      </w:r>
      <w:proofErr w:type="spellEnd"/>
      <w:r w:rsidRPr="00626310">
        <w:rPr>
          <w:rFonts w:ascii="Calibri" w:hAnsi="Calibri" w:cs="Calibri"/>
          <w:bCs/>
          <w:sz w:val="18"/>
          <w:szCs w:val="18"/>
        </w:rPr>
        <w:t xml:space="preserve">. Rio de Janeiro: </w:t>
      </w:r>
      <w:r w:rsidR="00697FF1" w:rsidRPr="00697FF1">
        <w:rPr>
          <w:rFonts w:ascii="Calibri" w:hAnsi="Calibri" w:cs="Calibri"/>
          <w:bCs/>
          <w:sz w:val="18"/>
          <w:szCs w:val="18"/>
        </w:rPr>
        <w:t xml:space="preserve">Zahar </w:t>
      </w:r>
      <w:proofErr w:type="spellStart"/>
      <w:r w:rsidR="00697FF1" w:rsidRPr="00697FF1">
        <w:rPr>
          <w:rFonts w:ascii="Calibri" w:hAnsi="Calibri" w:cs="Calibri"/>
          <w:bCs/>
          <w:sz w:val="18"/>
          <w:szCs w:val="18"/>
        </w:rPr>
        <w:t>Editors</w:t>
      </w:r>
      <w:proofErr w:type="spellEnd"/>
      <w:r w:rsidRPr="00626310">
        <w:rPr>
          <w:rFonts w:ascii="Calibri" w:hAnsi="Calibri" w:cs="Calibri"/>
          <w:bCs/>
          <w:sz w:val="18"/>
          <w:szCs w:val="18"/>
        </w:rPr>
        <w:t>, 1973. p.</w:t>
      </w:r>
      <w:r w:rsidR="00697FF1">
        <w:rPr>
          <w:rFonts w:ascii="Calibri" w:hAnsi="Calibri" w:cs="Calibri"/>
          <w:bCs/>
          <w:sz w:val="18"/>
          <w:szCs w:val="18"/>
        </w:rPr>
        <w:t xml:space="preserve"> </w:t>
      </w:r>
      <w:r w:rsidRPr="00626310">
        <w:rPr>
          <w:rFonts w:ascii="Calibri" w:hAnsi="Calibri" w:cs="Calibri"/>
          <w:bCs/>
          <w:sz w:val="18"/>
          <w:szCs w:val="18"/>
        </w:rPr>
        <w:t>10-24.</w:t>
      </w:r>
    </w:p>
    <w:p w14:paraId="48C775C5" w14:textId="77777777" w:rsidR="00C35E6F" w:rsidRPr="002F2AAC" w:rsidRDefault="00C35E6F" w:rsidP="00C35E6F">
      <w:pPr>
        <w:spacing w:line="276" w:lineRule="auto"/>
        <w:rPr>
          <w:rFonts w:asciiTheme="minorHAnsi" w:hAnsiTheme="minorHAnsi" w:cstheme="minorHAnsi"/>
          <w:b/>
          <w:sz w:val="22"/>
          <w:szCs w:val="22"/>
        </w:rPr>
      </w:pPr>
    </w:p>
    <w:p w14:paraId="78626ACB" w14:textId="77777777" w:rsidR="00C35E6F" w:rsidRPr="002F2AAC" w:rsidRDefault="00C35E6F" w:rsidP="00C35E6F">
      <w:pPr>
        <w:pStyle w:val="IDpaper-Text"/>
        <w:widowControl/>
        <w:spacing w:after="0" w:line="276" w:lineRule="auto"/>
        <w:jc w:val="both"/>
        <w:rPr>
          <w:rFonts w:asciiTheme="minorHAnsi" w:hAnsiTheme="minorHAnsi" w:cstheme="minorHAnsi"/>
          <w:sz w:val="22"/>
          <w:szCs w:val="22"/>
          <w:lang w:val="pt-BR"/>
        </w:rPr>
      </w:pPr>
    </w:p>
    <w:p w14:paraId="66BC2A04" w14:textId="77777777" w:rsidR="00DD5885" w:rsidRPr="00DD5885" w:rsidRDefault="00DD5885" w:rsidP="009E2AAF">
      <w:pPr>
        <w:pStyle w:val="PargrafodaLista"/>
        <w:spacing w:after="0"/>
        <w:ind w:left="0"/>
        <w:jc w:val="both"/>
        <w:rPr>
          <w:rFonts w:asciiTheme="minorHAnsi" w:hAnsiTheme="minorHAnsi" w:cstheme="minorHAnsi"/>
          <w:b/>
          <w:sz w:val="20"/>
          <w:szCs w:val="20"/>
        </w:rPr>
      </w:pPr>
    </w:p>
    <w:p w14:paraId="464F2E47" w14:textId="3992DAC6" w:rsidR="008B4CF6" w:rsidRPr="008D20BF" w:rsidRDefault="008B4CF6" w:rsidP="008D20BF">
      <w:pPr>
        <w:spacing w:line="276" w:lineRule="auto"/>
        <w:rPr>
          <w:rFonts w:asciiTheme="minorHAnsi" w:hAnsiTheme="minorHAnsi" w:cstheme="minorHAnsi"/>
          <w:sz w:val="18"/>
          <w:szCs w:val="20"/>
        </w:rPr>
      </w:pPr>
    </w:p>
    <w:sectPr w:rsidR="008B4CF6" w:rsidRPr="008D20BF" w:rsidSect="00527835">
      <w:headerReference w:type="default" r:id="rId12"/>
      <w:footerReference w:type="default" r:id="rId13"/>
      <w:pgSz w:w="11906" w:h="16838"/>
      <w:pgMar w:top="1417" w:right="1701" w:bottom="1417" w:left="1701" w:header="284" w:footer="709" w:gutter="0"/>
      <w:pgNumType w:start="4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A87D45" w14:textId="77777777" w:rsidR="00671400" w:rsidRDefault="00671400">
      <w:r>
        <w:separator/>
      </w:r>
    </w:p>
  </w:endnote>
  <w:endnote w:type="continuationSeparator" w:id="0">
    <w:p w14:paraId="609602CF" w14:textId="77777777" w:rsidR="00671400" w:rsidRDefault="00671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Bright">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7A3D4" w14:textId="77777777" w:rsidR="00C776E8" w:rsidRPr="003E782A" w:rsidRDefault="00C776E8">
    <w:pPr>
      <w:pStyle w:val="Rodap"/>
      <w:jc w:val="center"/>
      <w:rPr>
        <w:rFonts w:ascii="Calibri" w:hAnsi="Calibri" w:cs="Calibri"/>
        <w:sz w:val="20"/>
      </w:rPr>
    </w:pPr>
    <w:r w:rsidRPr="003E782A">
      <w:rPr>
        <w:rFonts w:ascii="Calibri" w:hAnsi="Calibri" w:cs="Calibri"/>
        <w:sz w:val="20"/>
      </w:rPr>
      <w:fldChar w:fldCharType="begin"/>
    </w:r>
    <w:r w:rsidRPr="003E782A">
      <w:rPr>
        <w:rFonts w:ascii="Calibri" w:hAnsi="Calibri" w:cs="Calibri"/>
        <w:sz w:val="20"/>
      </w:rPr>
      <w:instrText xml:space="preserve"> PAGE   \* MERGEFORMAT </w:instrText>
    </w:r>
    <w:r w:rsidRPr="003E782A">
      <w:rPr>
        <w:rFonts w:ascii="Calibri" w:hAnsi="Calibri" w:cs="Calibri"/>
        <w:sz w:val="20"/>
      </w:rPr>
      <w:fldChar w:fldCharType="separate"/>
    </w:r>
    <w:r w:rsidR="001D2061">
      <w:rPr>
        <w:rFonts w:ascii="Calibri" w:hAnsi="Calibri" w:cs="Calibri"/>
        <w:noProof/>
        <w:sz w:val="20"/>
      </w:rPr>
      <w:t>1</w:t>
    </w:r>
    <w:r w:rsidRPr="003E782A">
      <w:rPr>
        <w:rFonts w:ascii="Calibri" w:hAnsi="Calibri" w:cs="Calibri"/>
        <w:sz w:val="20"/>
      </w:rPr>
      <w:fldChar w:fldCharType="end"/>
    </w:r>
  </w:p>
  <w:p w14:paraId="2954AAFF" w14:textId="77777777" w:rsidR="00C776E8" w:rsidRDefault="00C776E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7EDEE" w14:textId="77777777" w:rsidR="00671400" w:rsidRDefault="00671400">
      <w:r>
        <w:separator/>
      </w:r>
    </w:p>
  </w:footnote>
  <w:footnote w:type="continuationSeparator" w:id="0">
    <w:p w14:paraId="6DB44781" w14:textId="77777777" w:rsidR="00671400" w:rsidRDefault="00671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352EB" w14:textId="77777777" w:rsidR="00527835" w:rsidRDefault="00527835" w:rsidP="00527835">
    <w:pPr>
      <w:jc w:val="center"/>
      <w:rPr>
        <w:rFonts w:ascii="Lucida Bright" w:eastAsia="Arial Unicode MS" w:hAnsi="Lucida Bright" w:cs="Arial Unicode MS"/>
        <w:color w:val="007AD6"/>
        <w:sz w:val="16"/>
        <w:szCs w:val="17"/>
      </w:rPr>
    </w:pPr>
    <w:bookmarkStart w:id="1" w:name="_Hlk175519103"/>
    <w:bookmarkStart w:id="2" w:name="_Hlk175519104"/>
    <w:r w:rsidRPr="001768AA">
      <w:rPr>
        <w:rFonts w:ascii="Lucida Bright" w:eastAsia="Arial Unicode MS" w:hAnsi="Lucida Bright" w:cs="Arial Unicode MS"/>
        <w:noProof/>
        <w:color w:val="007AD6"/>
        <w:sz w:val="16"/>
        <w:szCs w:val="17"/>
      </w:rPr>
      <w:drawing>
        <wp:inline distT="0" distB="0" distL="0" distR="0" wp14:anchorId="31C2D593" wp14:editId="1A8837FB">
          <wp:extent cx="5400040" cy="733425"/>
          <wp:effectExtent l="0" t="0" r="0" b="9525"/>
          <wp:docPr id="469343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733425"/>
                  </a:xfrm>
                  <a:prstGeom prst="rect">
                    <a:avLst/>
                  </a:prstGeom>
                  <a:noFill/>
                  <a:ln>
                    <a:noFill/>
                  </a:ln>
                </pic:spPr>
              </pic:pic>
            </a:graphicData>
          </a:graphic>
        </wp:inline>
      </w:drawing>
    </w:r>
  </w:p>
  <w:p w14:paraId="3220DCC9" w14:textId="77777777" w:rsidR="00527835" w:rsidRPr="002546BA" w:rsidRDefault="00527835" w:rsidP="00527835">
    <w:pPr>
      <w:spacing w:before="120"/>
      <w:jc w:val="center"/>
      <w:rPr>
        <w:rFonts w:ascii="Lucida Bright" w:eastAsia="Arial Unicode MS" w:hAnsi="Lucida Bright" w:cs="Arial Unicode MS"/>
        <w:sz w:val="16"/>
        <w:szCs w:val="17"/>
      </w:rPr>
    </w:pPr>
    <w:r w:rsidRPr="00263844">
      <w:rPr>
        <w:rFonts w:ascii="Lucida Bright" w:eastAsia="Arial Unicode MS" w:hAnsi="Lucida Bright" w:cs="Arial Unicode MS"/>
        <w:sz w:val="16"/>
        <w:szCs w:val="17"/>
      </w:rPr>
      <w:t>ISSN 2318-8472, v</w:t>
    </w:r>
    <w:r>
      <w:rPr>
        <w:rFonts w:ascii="Lucida Bright" w:eastAsia="Arial Unicode MS" w:hAnsi="Lucida Bright" w:cs="Arial Unicode MS"/>
        <w:sz w:val="16"/>
        <w:szCs w:val="17"/>
      </w:rPr>
      <w:t>.</w:t>
    </w:r>
    <w:r w:rsidRPr="00263844">
      <w:rPr>
        <w:rFonts w:ascii="Lucida Bright" w:eastAsia="Arial Unicode MS" w:hAnsi="Lucida Bright" w:cs="Arial Unicode MS"/>
        <w:sz w:val="16"/>
        <w:szCs w:val="17"/>
      </w:rPr>
      <w:t xml:space="preserve"> 1</w:t>
    </w:r>
    <w:r>
      <w:rPr>
        <w:rFonts w:ascii="Lucida Bright" w:eastAsia="Arial Unicode MS" w:hAnsi="Lucida Bright" w:cs="Arial Unicode MS"/>
        <w:sz w:val="16"/>
        <w:szCs w:val="17"/>
      </w:rPr>
      <w:t>2</w:t>
    </w:r>
    <w:r w:rsidRPr="00263844">
      <w:rPr>
        <w:rFonts w:ascii="Lucida Bright" w:eastAsia="Arial Unicode MS" w:hAnsi="Lucida Bright" w:cs="Arial Unicode MS"/>
        <w:sz w:val="16"/>
        <w:szCs w:val="17"/>
      </w:rPr>
      <w:t>, n</w:t>
    </w:r>
    <w:r>
      <w:rPr>
        <w:rFonts w:ascii="Lucida Bright" w:eastAsia="Arial Unicode MS" w:hAnsi="Lucida Bright" w:cs="Arial Unicode MS"/>
        <w:sz w:val="16"/>
        <w:szCs w:val="17"/>
      </w:rPr>
      <w:t>.</w:t>
    </w:r>
    <w:r w:rsidRPr="00263844">
      <w:rPr>
        <w:rFonts w:ascii="Lucida Bright" w:eastAsia="Arial Unicode MS" w:hAnsi="Lucida Bright" w:cs="Arial Unicode MS"/>
        <w:sz w:val="16"/>
        <w:szCs w:val="17"/>
      </w:rPr>
      <w:t xml:space="preserve"> 8</w:t>
    </w:r>
    <w:r>
      <w:rPr>
        <w:rFonts w:ascii="Lucida Bright" w:eastAsia="Arial Unicode MS" w:hAnsi="Lucida Bright" w:cs="Arial Unicode MS"/>
        <w:sz w:val="16"/>
        <w:szCs w:val="17"/>
      </w:rPr>
      <w:t>6</w:t>
    </w:r>
    <w:r w:rsidRPr="00263844">
      <w:rPr>
        <w:rFonts w:ascii="Lucida Bright" w:eastAsia="Arial Unicode MS" w:hAnsi="Lucida Bright" w:cs="Arial Unicode MS"/>
        <w:sz w:val="16"/>
        <w:szCs w:val="17"/>
      </w:rPr>
      <w:t>, 202</w:t>
    </w:r>
    <w:r>
      <w:rPr>
        <w:rFonts w:ascii="Lucida Bright" w:eastAsia="Arial Unicode MS" w:hAnsi="Lucida Bright" w:cs="Arial Unicode MS"/>
        <w:sz w:val="16"/>
        <w:szCs w:val="17"/>
      </w:rPr>
      <w:t>4</w:t>
    </w:r>
    <w:bookmarkEnd w:id="1"/>
    <w:bookmarkEnd w:id="2"/>
  </w:p>
  <w:p w14:paraId="6717673B" w14:textId="77777777" w:rsidR="00750542" w:rsidRDefault="00750542" w:rsidP="002F4B8F">
    <w:pPr>
      <w:pStyle w:val="Cabealho"/>
      <w:jc w:val="center"/>
      <w:rPr>
        <w:rFonts w:asciiTheme="minorHAnsi" w:hAnsiTheme="minorHAnsi" w:cstheme="minorHAnsi"/>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71CA8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214969"/>
    <w:multiLevelType w:val="multilevel"/>
    <w:tmpl w:val="1978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636DC"/>
    <w:multiLevelType w:val="hybridMultilevel"/>
    <w:tmpl w:val="8E34C532"/>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71B5274"/>
    <w:multiLevelType w:val="hybridMultilevel"/>
    <w:tmpl w:val="C8DC336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1E52B37"/>
    <w:multiLevelType w:val="multilevel"/>
    <w:tmpl w:val="0CD0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5C2C0B"/>
    <w:multiLevelType w:val="multilevel"/>
    <w:tmpl w:val="9E58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3978F0"/>
    <w:multiLevelType w:val="hybridMultilevel"/>
    <w:tmpl w:val="A1BE86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06E4F1A"/>
    <w:multiLevelType w:val="hybridMultilevel"/>
    <w:tmpl w:val="CF1A9F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2AC5255"/>
    <w:multiLevelType w:val="multilevel"/>
    <w:tmpl w:val="7FAE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74456B"/>
    <w:multiLevelType w:val="multilevel"/>
    <w:tmpl w:val="C850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81D5B"/>
    <w:multiLevelType w:val="hybridMultilevel"/>
    <w:tmpl w:val="CC1016AA"/>
    <w:lvl w:ilvl="0" w:tplc="0416000F">
      <w:start w:val="1"/>
      <w:numFmt w:val="decimal"/>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15:restartNumberingAfterBreak="0">
    <w:nsid w:val="2704768B"/>
    <w:multiLevelType w:val="multilevel"/>
    <w:tmpl w:val="E28474F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3D12A1"/>
    <w:multiLevelType w:val="multilevel"/>
    <w:tmpl w:val="B91AB67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6B385D"/>
    <w:multiLevelType w:val="hybridMultilevel"/>
    <w:tmpl w:val="050E3E40"/>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A3F63BF"/>
    <w:multiLevelType w:val="multilevel"/>
    <w:tmpl w:val="B5E83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E66A3D"/>
    <w:multiLevelType w:val="multilevel"/>
    <w:tmpl w:val="F2BEF2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FF2D24"/>
    <w:multiLevelType w:val="multilevel"/>
    <w:tmpl w:val="0A12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800ABE"/>
    <w:multiLevelType w:val="multilevel"/>
    <w:tmpl w:val="A9DA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2E1DED"/>
    <w:multiLevelType w:val="hybridMultilevel"/>
    <w:tmpl w:val="B8C4C52E"/>
    <w:lvl w:ilvl="0" w:tplc="6F92B560">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19" w15:restartNumberingAfterBreak="0">
    <w:nsid w:val="482C0B3F"/>
    <w:multiLevelType w:val="hybridMultilevel"/>
    <w:tmpl w:val="2D686FA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491579E7"/>
    <w:multiLevelType w:val="multilevel"/>
    <w:tmpl w:val="BB9CD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93211F"/>
    <w:multiLevelType w:val="multilevel"/>
    <w:tmpl w:val="B56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456446"/>
    <w:multiLevelType w:val="hybridMultilevel"/>
    <w:tmpl w:val="441AF3A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4616152"/>
    <w:multiLevelType w:val="multilevel"/>
    <w:tmpl w:val="BCD60F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6B6C30"/>
    <w:multiLevelType w:val="hybridMultilevel"/>
    <w:tmpl w:val="9314C9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4374C08"/>
    <w:multiLevelType w:val="hybridMultilevel"/>
    <w:tmpl w:val="E088704A"/>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6" w15:restartNumberingAfterBreak="0">
    <w:nsid w:val="666C0D76"/>
    <w:multiLevelType w:val="multilevel"/>
    <w:tmpl w:val="31BC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EF7069"/>
    <w:multiLevelType w:val="hybridMultilevel"/>
    <w:tmpl w:val="68EA6C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4B7721F"/>
    <w:multiLevelType w:val="hybridMultilevel"/>
    <w:tmpl w:val="BFA22710"/>
    <w:lvl w:ilvl="0" w:tplc="FB9C40FE">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29" w15:restartNumberingAfterBreak="0">
    <w:nsid w:val="76224E25"/>
    <w:multiLevelType w:val="multilevel"/>
    <w:tmpl w:val="4FA00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CD028B"/>
    <w:multiLevelType w:val="multilevel"/>
    <w:tmpl w:val="780CC6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9ED5690"/>
    <w:multiLevelType w:val="hybridMultilevel"/>
    <w:tmpl w:val="44E80C8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32" w15:restartNumberingAfterBreak="0">
    <w:nsid w:val="7ACD5788"/>
    <w:multiLevelType w:val="multilevel"/>
    <w:tmpl w:val="A8A079A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B27547F"/>
    <w:multiLevelType w:val="hybridMultilevel"/>
    <w:tmpl w:val="BB902C36"/>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4" w15:restartNumberingAfterBreak="0">
    <w:nsid w:val="7BBC1F7A"/>
    <w:multiLevelType w:val="hybridMultilevel"/>
    <w:tmpl w:val="E088704A"/>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decimal"/>
      <w:lvlText w:val="%2."/>
      <w:lvlJc w:val="left"/>
      <w:pPr>
        <w:tabs>
          <w:tab w:val="num" w:pos="757"/>
        </w:tabs>
        <w:ind w:left="737" w:hanging="340"/>
      </w:pPr>
      <w:rPr>
        <w:rFonts w:ascii="Arial" w:hAnsi="Arial" w:cs="Symbol" w:hint="default"/>
        <w:b w:val="0"/>
        <w:i w:val="0"/>
        <w:color w:val="auto"/>
        <w:sz w:val="20"/>
        <w:szCs w:val="20"/>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35" w15:restartNumberingAfterBreak="0">
    <w:nsid w:val="7CDA160C"/>
    <w:multiLevelType w:val="multilevel"/>
    <w:tmpl w:val="1242F32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C86063"/>
    <w:multiLevelType w:val="hybridMultilevel"/>
    <w:tmpl w:val="E660B36E"/>
    <w:lvl w:ilvl="0" w:tplc="04160001">
      <w:start w:val="1"/>
      <w:numFmt w:val="bullet"/>
      <w:lvlText w:val=""/>
      <w:lvlJc w:val="left"/>
      <w:pPr>
        <w:ind w:left="960" w:hanging="360"/>
      </w:pPr>
      <w:rPr>
        <w:rFonts w:ascii="Symbol" w:hAnsi="Symbol" w:hint="default"/>
      </w:rPr>
    </w:lvl>
    <w:lvl w:ilvl="1" w:tplc="04160003" w:tentative="1">
      <w:start w:val="1"/>
      <w:numFmt w:val="bullet"/>
      <w:lvlText w:val="o"/>
      <w:lvlJc w:val="left"/>
      <w:pPr>
        <w:ind w:left="1680" w:hanging="360"/>
      </w:pPr>
      <w:rPr>
        <w:rFonts w:ascii="Courier New" w:hAnsi="Courier New" w:cs="Courier New" w:hint="default"/>
      </w:rPr>
    </w:lvl>
    <w:lvl w:ilvl="2" w:tplc="04160005" w:tentative="1">
      <w:start w:val="1"/>
      <w:numFmt w:val="bullet"/>
      <w:lvlText w:val=""/>
      <w:lvlJc w:val="left"/>
      <w:pPr>
        <w:ind w:left="2400" w:hanging="360"/>
      </w:pPr>
      <w:rPr>
        <w:rFonts w:ascii="Wingdings" w:hAnsi="Wingdings" w:hint="default"/>
      </w:rPr>
    </w:lvl>
    <w:lvl w:ilvl="3" w:tplc="04160001" w:tentative="1">
      <w:start w:val="1"/>
      <w:numFmt w:val="bullet"/>
      <w:lvlText w:val=""/>
      <w:lvlJc w:val="left"/>
      <w:pPr>
        <w:ind w:left="3120" w:hanging="360"/>
      </w:pPr>
      <w:rPr>
        <w:rFonts w:ascii="Symbol" w:hAnsi="Symbol" w:hint="default"/>
      </w:rPr>
    </w:lvl>
    <w:lvl w:ilvl="4" w:tplc="04160003" w:tentative="1">
      <w:start w:val="1"/>
      <w:numFmt w:val="bullet"/>
      <w:lvlText w:val="o"/>
      <w:lvlJc w:val="left"/>
      <w:pPr>
        <w:ind w:left="3840" w:hanging="360"/>
      </w:pPr>
      <w:rPr>
        <w:rFonts w:ascii="Courier New" w:hAnsi="Courier New" w:cs="Courier New" w:hint="default"/>
      </w:rPr>
    </w:lvl>
    <w:lvl w:ilvl="5" w:tplc="04160005" w:tentative="1">
      <w:start w:val="1"/>
      <w:numFmt w:val="bullet"/>
      <w:lvlText w:val=""/>
      <w:lvlJc w:val="left"/>
      <w:pPr>
        <w:ind w:left="4560" w:hanging="360"/>
      </w:pPr>
      <w:rPr>
        <w:rFonts w:ascii="Wingdings" w:hAnsi="Wingdings" w:hint="default"/>
      </w:rPr>
    </w:lvl>
    <w:lvl w:ilvl="6" w:tplc="04160001" w:tentative="1">
      <w:start w:val="1"/>
      <w:numFmt w:val="bullet"/>
      <w:lvlText w:val=""/>
      <w:lvlJc w:val="left"/>
      <w:pPr>
        <w:ind w:left="5280" w:hanging="360"/>
      </w:pPr>
      <w:rPr>
        <w:rFonts w:ascii="Symbol" w:hAnsi="Symbol" w:hint="default"/>
      </w:rPr>
    </w:lvl>
    <w:lvl w:ilvl="7" w:tplc="04160003" w:tentative="1">
      <w:start w:val="1"/>
      <w:numFmt w:val="bullet"/>
      <w:lvlText w:val="o"/>
      <w:lvlJc w:val="left"/>
      <w:pPr>
        <w:ind w:left="6000" w:hanging="360"/>
      </w:pPr>
      <w:rPr>
        <w:rFonts w:ascii="Courier New" w:hAnsi="Courier New" w:cs="Courier New" w:hint="default"/>
      </w:rPr>
    </w:lvl>
    <w:lvl w:ilvl="8" w:tplc="04160005" w:tentative="1">
      <w:start w:val="1"/>
      <w:numFmt w:val="bullet"/>
      <w:lvlText w:val=""/>
      <w:lvlJc w:val="left"/>
      <w:pPr>
        <w:ind w:left="6720" w:hanging="360"/>
      </w:pPr>
      <w:rPr>
        <w:rFonts w:ascii="Wingdings" w:hAnsi="Wingdings" w:hint="default"/>
      </w:rPr>
    </w:lvl>
  </w:abstractNum>
  <w:num w:numId="1" w16cid:durableId="1888253056">
    <w:abstractNumId w:val="25"/>
  </w:num>
  <w:num w:numId="2" w16cid:durableId="1150172096">
    <w:abstractNumId w:val="34"/>
  </w:num>
  <w:num w:numId="3" w16cid:durableId="308749638">
    <w:abstractNumId w:val="31"/>
  </w:num>
  <w:num w:numId="4" w16cid:durableId="1448308184">
    <w:abstractNumId w:val="2"/>
  </w:num>
  <w:num w:numId="5" w16cid:durableId="1489126765">
    <w:abstractNumId w:val="19"/>
  </w:num>
  <w:num w:numId="6" w16cid:durableId="461702861">
    <w:abstractNumId w:val="22"/>
  </w:num>
  <w:num w:numId="7" w16cid:durableId="62870194">
    <w:abstractNumId w:val="3"/>
  </w:num>
  <w:num w:numId="8" w16cid:durableId="1112363765">
    <w:abstractNumId w:val="24"/>
  </w:num>
  <w:num w:numId="9" w16cid:durableId="1188638851">
    <w:abstractNumId w:val="18"/>
  </w:num>
  <w:num w:numId="10" w16cid:durableId="1158419422">
    <w:abstractNumId w:val="28"/>
  </w:num>
  <w:num w:numId="11" w16cid:durableId="1065882867">
    <w:abstractNumId w:val="6"/>
  </w:num>
  <w:num w:numId="12" w16cid:durableId="809443800">
    <w:abstractNumId w:val="0"/>
  </w:num>
  <w:num w:numId="13" w16cid:durableId="1259949212">
    <w:abstractNumId w:val="7"/>
  </w:num>
  <w:num w:numId="14" w16cid:durableId="1541892963">
    <w:abstractNumId w:val="33"/>
  </w:num>
  <w:num w:numId="15" w16cid:durableId="1507091464">
    <w:abstractNumId w:val="13"/>
  </w:num>
  <w:num w:numId="16" w16cid:durableId="1091052097">
    <w:abstractNumId w:val="10"/>
  </w:num>
  <w:num w:numId="17" w16cid:durableId="479689522">
    <w:abstractNumId w:val="21"/>
  </w:num>
  <w:num w:numId="18" w16cid:durableId="1654218481">
    <w:abstractNumId w:val="16"/>
  </w:num>
  <w:num w:numId="19" w16cid:durableId="1022165895">
    <w:abstractNumId w:val="8"/>
  </w:num>
  <w:num w:numId="20" w16cid:durableId="1691176585">
    <w:abstractNumId w:val="9"/>
  </w:num>
  <w:num w:numId="21" w16cid:durableId="1497652694">
    <w:abstractNumId w:val="20"/>
  </w:num>
  <w:num w:numId="22" w16cid:durableId="1423185084">
    <w:abstractNumId w:val="27"/>
  </w:num>
  <w:num w:numId="23" w16cid:durableId="376468339">
    <w:abstractNumId w:val="17"/>
  </w:num>
  <w:num w:numId="24" w16cid:durableId="1692610512">
    <w:abstractNumId w:val="29"/>
  </w:num>
  <w:num w:numId="25" w16cid:durableId="1447508522">
    <w:abstractNumId w:val="5"/>
  </w:num>
  <w:num w:numId="26" w16cid:durableId="405491070">
    <w:abstractNumId w:val="1"/>
  </w:num>
  <w:num w:numId="27" w16cid:durableId="754546481">
    <w:abstractNumId w:val="36"/>
  </w:num>
  <w:num w:numId="28" w16cid:durableId="1744907169">
    <w:abstractNumId w:val="4"/>
  </w:num>
  <w:num w:numId="29" w16cid:durableId="530728914">
    <w:abstractNumId w:val="30"/>
  </w:num>
  <w:num w:numId="30" w16cid:durableId="1703937641">
    <w:abstractNumId w:val="32"/>
  </w:num>
  <w:num w:numId="31" w16cid:durableId="402608579">
    <w:abstractNumId w:val="11"/>
  </w:num>
  <w:num w:numId="32" w16cid:durableId="358629864">
    <w:abstractNumId w:val="15"/>
  </w:num>
  <w:num w:numId="33" w16cid:durableId="1161432411">
    <w:abstractNumId w:val="26"/>
  </w:num>
  <w:num w:numId="34" w16cid:durableId="393621299">
    <w:abstractNumId w:val="35"/>
  </w:num>
  <w:num w:numId="35" w16cid:durableId="1126434043">
    <w:abstractNumId w:val="23"/>
  </w:num>
  <w:num w:numId="36" w16cid:durableId="1012301470">
    <w:abstractNumId w:val="12"/>
  </w:num>
  <w:num w:numId="37" w16cid:durableId="16954234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pt-BR" w:vendorID="64" w:dllVersion="6" w:nlCheck="1" w:checkStyle="0"/>
  <w:activeWritingStyle w:appName="MSWord" w:lang="en-GB" w:vendorID="64" w:dllVersion="6" w:nlCheck="1" w:checkStyle="0"/>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pt-B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GB" w:vendorID="64" w:dllVersion="0" w:nlCheck="1" w:checkStyle="0"/>
  <w:activeWritingStyle w:appName="MSWord" w:lang="en-US" w:vendorID="64" w:dllVersion="0" w:nlCheck="1" w:checkStyle="0"/>
  <w:proofState w:spelling="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01C"/>
    <w:rsid w:val="000015A2"/>
    <w:rsid w:val="00010226"/>
    <w:rsid w:val="00012FC1"/>
    <w:rsid w:val="00014111"/>
    <w:rsid w:val="00024269"/>
    <w:rsid w:val="00046AB6"/>
    <w:rsid w:val="000502FF"/>
    <w:rsid w:val="0005777C"/>
    <w:rsid w:val="00061BFA"/>
    <w:rsid w:val="00063038"/>
    <w:rsid w:val="00087F75"/>
    <w:rsid w:val="00095E46"/>
    <w:rsid w:val="000A6B80"/>
    <w:rsid w:val="000A6F41"/>
    <w:rsid w:val="000A72DE"/>
    <w:rsid w:val="000A7328"/>
    <w:rsid w:val="000C4183"/>
    <w:rsid w:val="000E25A3"/>
    <w:rsid w:val="000E2D73"/>
    <w:rsid w:val="000F16D0"/>
    <w:rsid w:val="000F19E3"/>
    <w:rsid w:val="000F2E32"/>
    <w:rsid w:val="0010554A"/>
    <w:rsid w:val="001123A7"/>
    <w:rsid w:val="001138E0"/>
    <w:rsid w:val="00114161"/>
    <w:rsid w:val="001147CC"/>
    <w:rsid w:val="00120A4E"/>
    <w:rsid w:val="00127565"/>
    <w:rsid w:val="00127C73"/>
    <w:rsid w:val="00154F26"/>
    <w:rsid w:val="001675B9"/>
    <w:rsid w:val="0016764D"/>
    <w:rsid w:val="00167CB2"/>
    <w:rsid w:val="00174404"/>
    <w:rsid w:val="00191522"/>
    <w:rsid w:val="001B12E1"/>
    <w:rsid w:val="001B2486"/>
    <w:rsid w:val="001B3129"/>
    <w:rsid w:val="001D2061"/>
    <w:rsid w:val="001D5941"/>
    <w:rsid w:val="001E20FC"/>
    <w:rsid w:val="001F1F6C"/>
    <w:rsid w:val="001F3BC5"/>
    <w:rsid w:val="001F62B8"/>
    <w:rsid w:val="001F63EF"/>
    <w:rsid w:val="001F6D68"/>
    <w:rsid w:val="001F74CA"/>
    <w:rsid w:val="00200951"/>
    <w:rsid w:val="00201A0B"/>
    <w:rsid w:val="00202520"/>
    <w:rsid w:val="00212398"/>
    <w:rsid w:val="00223899"/>
    <w:rsid w:val="00224126"/>
    <w:rsid w:val="002252D6"/>
    <w:rsid w:val="00227E28"/>
    <w:rsid w:val="00230897"/>
    <w:rsid w:val="002407C1"/>
    <w:rsid w:val="00250B6C"/>
    <w:rsid w:val="002527D3"/>
    <w:rsid w:val="00255C42"/>
    <w:rsid w:val="00261A9F"/>
    <w:rsid w:val="00264FC4"/>
    <w:rsid w:val="0026575C"/>
    <w:rsid w:val="00271EBF"/>
    <w:rsid w:val="00273E9A"/>
    <w:rsid w:val="002770AB"/>
    <w:rsid w:val="002803EC"/>
    <w:rsid w:val="00284807"/>
    <w:rsid w:val="00297E83"/>
    <w:rsid w:val="002A0031"/>
    <w:rsid w:val="002A14D0"/>
    <w:rsid w:val="002A170C"/>
    <w:rsid w:val="002A686B"/>
    <w:rsid w:val="002C09E9"/>
    <w:rsid w:val="002D438D"/>
    <w:rsid w:val="002D4CA1"/>
    <w:rsid w:val="002F1C78"/>
    <w:rsid w:val="002F2EF7"/>
    <w:rsid w:val="002F4B8F"/>
    <w:rsid w:val="00302ADF"/>
    <w:rsid w:val="0031360D"/>
    <w:rsid w:val="00326E56"/>
    <w:rsid w:val="00327944"/>
    <w:rsid w:val="00341D1F"/>
    <w:rsid w:val="0035262E"/>
    <w:rsid w:val="00362DDE"/>
    <w:rsid w:val="00362E84"/>
    <w:rsid w:val="00363C90"/>
    <w:rsid w:val="003730F8"/>
    <w:rsid w:val="0037371D"/>
    <w:rsid w:val="003741A2"/>
    <w:rsid w:val="003800A6"/>
    <w:rsid w:val="00391861"/>
    <w:rsid w:val="003B5837"/>
    <w:rsid w:val="003C1F78"/>
    <w:rsid w:val="003E49D5"/>
    <w:rsid w:val="003E782A"/>
    <w:rsid w:val="003F0D31"/>
    <w:rsid w:val="003F1F0C"/>
    <w:rsid w:val="003F3012"/>
    <w:rsid w:val="003F4883"/>
    <w:rsid w:val="0040429F"/>
    <w:rsid w:val="00405800"/>
    <w:rsid w:val="00410B53"/>
    <w:rsid w:val="0041522A"/>
    <w:rsid w:val="00426719"/>
    <w:rsid w:val="0043144A"/>
    <w:rsid w:val="00437812"/>
    <w:rsid w:val="00440513"/>
    <w:rsid w:val="00445DE1"/>
    <w:rsid w:val="00447F49"/>
    <w:rsid w:val="00457C7E"/>
    <w:rsid w:val="00475F92"/>
    <w:rsid w:val="00477E51"/>
    <w:rsid w:val="004819E9"/>
    <w:rsid w:val="00494B89"/>
    <w:rsid w:val="00496054"/>
    <w:rsid w:val="004A17BD"/>
    <w:rsid w:val="004A4FC3"/>
    <w:rsid w:val="004A6EBA"/>
    <w:rsid w:val="004A70CB"/>
    <w:rsid w:val="004B1806"/>
    <w:rsid w:val="004B6E29"/>
    <w:rsid w:val="004C114B"/>
    <w:rsid w:val="004C43E6"/>
    <w:rsid w:val="004D774A"/>
    <w:rsid w:val="004E0028"/>
    <w:rsid w:val="004E5D19"/>
    <w:rsid w:val="00506622"/>
    <w:rsid w:val="00516085"/>
    <w:rsid w:val="00517648"/>
    <w:rsid w:val="00517C0F"/>
    <w:rsid w:val="00521E49"/>
    <w:rsid w:val="00523745"/>
    <w:rsid w:val="00527835"/>
    <w:rsid w:val="00531080"/>
    <w:rsid w:val="00536719"/>
    <w:rsid w:val="005520A3"/>
    <w:rsid w:val="00555148"/>
    <w:rsid w:val="005565E4"/>
    <w:rsid w:val="00570D1D"/>
    <w:rsid w:val="00571CFD"/>
    <w:rsid w:val="00572E2F"/>
    <w:rsid w:val="0057601C"/>
    <w:rsid w:val="00582B58"/>
    <w:rsid w:val="005972B0"/>
    <w:rsid w:val="005A1CD6"/>
    <w:rsid w:val="005A47F3"/>
    <w:rsid w:val="005B01D5"/>
    <w:rsid w:val="005B49B9"/>
    <w:rsid w:val="005B7ACD"/>
    <w:rsid w:val="005C31CB"/>
    <w:rsid w:val="005C41E6"/>
    <w:rsid w:val="005D48F7"/>
    <w:rsid w:val="005E263B"/>
    <w:rsid w:val="005F34A0"/>
    <w:rsid w:val="00607097"/>
    <w:rsid w:val="00616235"/>
    <w:rsid w:val="00622DC2"/>
    <w:rsid w:val="00624AE5"/>
    <w:rsid w:val="00625654"/>
    <w:rsid w:val="00630D2E"/>
    <w:rsid w:val="006366BC"/>
    <w:rsid w:val="00653C27"/>
    <w:rsid w:val="00661000"/>
    <w:rsid w:val="0066194E"/>
    <w:rsid w:val="00666AFA"/>
    <w:rsid w:val="00671400"/>
    <w:rsid w:val="00674FAE"/>
    <w:rsid w:val="0067630F"/>
    <w:rsid w:val="00680E2C"/>
    <w:rsid w:val="00681ABF"/>
    <w:rsid w:val="00682D0D"/>
    <w:rsid w:val="0068594F"/>
    <w:rsid w:val="00687B33"/>
    <w:rsid w:val="00693C5D"/>
    <w:rsid w:val="00695742"/>
    <w:rsid w:val="00695E13"/>
    <w:rsid w:val="00697FF1"/>
    <w:rsid w:val="006A00E2"/>
    <w:rsid w:val="006A3003"/>
    <w:rsid w:val="006B0D3D"/>
    <w:rsid w:val="006B7364"/>
    <w:rsid w:val="006C0DB4"/>
    <w:rsid w:val="006C358E"/>
    <w:rsid w:val="006C4D04"/>
    <w:rsid w:val="006D064A"/>
    <w:rsid w:val="006E27F0"/>
    <w:rsid w:val="006E7616"/>
    <w:rsid w:val="006F18B0"/>
    <w:rsid w:val="006F593D"/>
    <w:rsid w:val="00700A42"/>
    <w:rsid w:val="00715B7C"/>
    <w:rsid w:val="00721BE8"/>
    <w:rsid w:val="0072678B"/>
    <w:rsid w:val="007347D1"/>
    <w:rsid w:val="00742640"/>
    <w:rsid w:val="00750542"/>
    <w:rsid w:val="0075355E"/>
    <w:rsid w:val="00757A25"/>
    <w:rsid w:val="00771965"/>
    <w:rsid w:val="007722E0"/>
    <w:rsid w:val="007774CE"/>
    <w:rsid w:val="0077769A"/>
    <w:rsid w:val="00780E64"/>
    <w:rsid w:val="00783943"/>
    <w:rsid w:val="00786157"/>
    <w:rsid w:val="00791C37"/>
    <w:rsid w:val="00793C56"/>
    <w:rsid w:val="007B243F"/>
    <w:rsid w:val="007C0FC3"/>
    <w:rsid w:val="007C1ADF"/>
    <w:rsid w:val="007C1B96"/>
    <w:rsid w:val="007E0711"/>
    <w:rsid w:val="007E6D70"/>
    <w:rsid w:val="007F1C9A"/>
    <w:rsid w:val="00801EA0"/>
    <w:rsid w:val="00804C39"/>
    <w:rsid w:val="00813611"/>
    <w:rsid w:val="008153AB"/>
    <w:rsid w:val="00815495"/>
    <w:rsid w:val="008174A8"/>
    <w:rsid w:val="00817764"/>
    <w:rsid w:val="00827324"/>
    <w:rsid w:val="00831914"/>
    <w:rsid w:val="00832F1D"/>
    <w:rsid w:val="008334ED"/>
    <w:rsid w:val="008355E4"/>
    <w:rsid w:val="00842B9D"/>
    <w:rsid w:val="00843BC1"/>
    <w:rsid w:val="00846D63"/>
    <w:rsid w:val="00860638"/>
    <w:rsid w:val="00867743"/>
    <w:rsid w:val="00870028"/>
    <w:rsid w:val="00872B3A"/>
    <w:rsid w:val="00880CB3"/>
    <w:rsid w:val="008917DA"/>
    <w:rsid w:val="00895B21"/>
    <w:rsid w:val="00895DCE"/>
    <w:rsid w:val="00897DDF"/>
    <w:rsid w:val="008A313F"/>
    <w:rsid w:val="008A6527"/>
    <w:rsid w:val="008B38B0"/>
    <w:rsid w:val="008B4230"/>
    <w:rsid w:val="008B4CF6"/>
    <w:rsid w:val="008C541A"/>
    <w:rsid w:val="008D017A"/>
    <w:rsid w:val="008D20BF"/>
    <w:rsid w:val="008D2A78"/>
    <w:rsid w:val="008D5647"/>
    <w:rsid w:val="008F6FA1"/>
    <w:rsid w:val="00905E02"/>
    <w:rsid w:val="00927D3B"/>
    <w:rsid w:val="00927D82"/>
    <w:rsid w:val="0094519B"/>
    <w:rsid w:val="00945F0E"/>
    <w:rsid w:val="00947068"/>
    <w:rsid w:val="00947EED"/>
    <w:rsid w:val="00962533"/>
    <w:rsid w:val="0097119C"/>
    <w:rsid w:val="0097448C"/>
    <w:rsid w:val="0097486E"/>
    <w:rsid w:val="00974E35"/>
    <w:rsid w:val="00980C8C"/>
    <w:rsid w:val="00980FA7"/>
    <w:rsid w:val="009A08D3"/>
    <w:rsid w:val="009A0CC3"/>
    <w:rsid w:val="009A2381"/>
    <w:rsid w:val="009A5248"/>
    <w:rsid w:val="009B006A"/>
    <w:rsid w:val="009D4E5E"/>
    <w:rsid w:val="009E11AF"/>
    <w:rsid w:val="009E2AAF"/>
    <w:rsid w:val="009E5076"/>
    <w:rsid w:val="009F3725"/>
    <w:rsid w:val="009F786E"/>
    <w:rsid w:val="00A01F45"/>
    <w:rsid w:val="00A15D73"/>
    <w:rsid w:val="00A17E3D"/>
    <w:rsid w:val="00A279D3"/>
    <w:rsid w:val="00A27EC2"/>
    <w:rsid w:val="00A3111E"/>
    <w:rsid w:val="00A36F5B"/>
    <w:rsid w:val="00A378F9"/>
    <w:rsid w:val="00A42870"/>
    <w:rsid w:val="00A43943"/>
    <w:rsid w:val="00A50241"/>
    <w:rsid w:val="00A50434"/>
    <w:rsid w:val="00A51777"/>
    <w:rsid w:val="00A56B54"/>
    <w:rsid w:val="00A606E6"/>
    <w:rsid w:val="00A60E78"/>
    <w:rsid w:val="00A61767"/>
    <w:rsid w:val="00A701BD"/>
    <w:rsid w:val="00A83DE6"/>
    <w:rsid w:val="00A85968"/>
    <w:rsid w:val="00A95E7E"/>
    <w:rsid w:val="00AA175A"/>
    <w:rsid w:val="00AA3317"/>
    <w:rsid w:val="00AA7F88"/>
    <w:rsid w:val="00AD15DA"/>
    <w:rsid w:val="00AE34AE"/>
    <w:rsid w:val="00AE4865"/>
    <w:rsid w:val="00AE6655"/>
    <w:rsid w:val="00AF2DDA"/>
    <w:rsid w:val="00B01BC4"/>
    <w:rsid w:val="00B033CB"/>
    <w:rsid w:val="00B05CD8"/>
    <w:rsid w:val="00B06A2D"/>
    <w:rsid w:val="00B074FA"/>
    <w:rsid w:val="00B10974"/>
    <w:rsid w:val="00B247D4"/>
    <w:rsid w:val="00B35681"/>
    <w:rsid w:val="00B400F6"/>
    <w:rsid w:val="00B41B00"/>
    <w:rsid w:val="00B43077"/>
    <w:rsid w:val="00B438AC"/>
    <w:rsid w:val="00B44ACE"/>
    <w:rsid w:val="00B45E61"/>
    <w:rsid w:val="00B47196"/>
    <w:rsid w:val="00B5272A"/>
    <w:rsid w:val="00B5679B"/>
    <w:rsid w:val="00B743F2"/>
    <w:rsid w:val="00B814ED"/>
    <w:rsid w:val="00B82BC4"/>
    <w:rsid w:val="00B91D7C"/>
    <w:rsid w:val="00BA3A2D"/>
    <w:rsid w:val="00BA3EAE"/>
    <w:rsid w:val="00BB6383"/>
    <w:rsid w:val="00BC7647"/>
    <w:rsid w:val="00BD2E89"/>
    <w:rsid w:val="00BF415F"/>
    <w:rsid w:val="00BF5A2A"/>
    <w:rsid w:val="00BF60E5"/>
    <w:rsid w:val="00C100EF"/>
    <w:rsid w:val="00C11088"/>
    <w:rsid w:val="00C15287"/>
    <w:rsid w:val="00C167E2"/>
    <w:rsid w:val="00C2030E"/>
    <w:rsid w:val="00C26BD6"/>
    <w:rsid w:val="00C277C4"/>
    <w:rsid w:val="00C35E6F"/>
    <w:rsid w:val="00C37835"/>
    <w:rsid w:val="00C50DCB"/>
    <w:rsid w:val="00C52AE8"/>
    <w:rsid w:val="00C56B29"/>
    <w:rsid w:val="00C62AFA"/>
    <w:rsid w:val="00C64578"/>
    <w:rsid w:val="00C712D6"/>
    <w:rsid w:val="00C75CEC"/>
    <w:rsid w:val="00C776E8"/>
    <w:rsid w:val="00C8456E"/>
    <w:rsid w:val="00C92E8D"/>
    <w:rsid w:val="00C9544A"/>
    <w:rsid w:val="00CA44F9"/>
    <w:rsid w:val="00CB2D50"/>
    <w:rsid w:val="00CC57AE"/>
    <w:rsid w:val="00CE2822"/>
    <w:rsid w:val="00CE3359"/>
    <w:rsid w:val="00CE393F"/>
    <w:rsid w:val="00CF0886"/>
    <w:rsid w:val="00CF7E6C"/>
    <w:rsid w:val="00D02EE3"/>
    <w:rsid w:val="00D10BBF"/>
    <w:rsid w:val="00D14BB7"/>
    <w:rsid w:val="00D20F95"/>
    <w:rsid w:val="00D3027E"/>
    <w:rsid w:val="00D439AA"/>
    <w:rsid w:val="00D43FFD"/>
    <w:rsid w:val="00D44521"/>
    <w:rsid w:val="00D602B1"/>
    <w:rsid w:val="00D62030"/>
    <w:rsid w:val="00D7654A"/>
    <w:rsid w:val="00D90EF7"/>
    <w:rsid w:val="00DA23C2"/>
    <w:rsid w:val="00DB3707"/>
    <w:rsid w:val="00DB3E3E"/>
    <w:rsid w:val="00DB4184"/>
    <w:rsid w:val="00DC43FA"/>
    <w:rsid w:val="00DD0900"/>
    <w:rsid w:val="00DD1A0B"/>
    <w:rsid w:val="00DD5885"/>
    <w:rsid w:val="00DE15D1"/>
    <w:rsid w:val="00DF123A"/>
    <w:rsid w:val="00DF26FD"/>
    <w:rsid w:val="00DF3609"/>
    <w:rsid w:val="00E1449E"/>
    <w:rsid w:val="00E151B3"/>
    <w:rsid w:val="00E20549"/>
    <w:rsid w:val="00E319F6"/>
    <w:rsid w:val="00E336D7"/>
    <w:rsid w:val="00E35B5C"/>
    <w:rsid w:val="00E41D8C"/>
    <w:rsid w:val="00E42349"/>
    <w:rsid w:val="00E460FE"/>
    <w:rsid w:val="00E51EDE"/>
    <w:rsid w:val="00E56733"/>
    <w:rsid w:val="00E65E72"/>
    <w:rsid w:val="00E765A3"/>
    <w:rsid w:val="00EA038F"/>
    <w:rsid w:val="00EB466E"/>
    <w:rsid w:val="00EE0F6F"/>
    <w:rsid w:val="00EE28EF"/>
    <w:rsid w:val="00EE4562"/>
    <w:rsid w:val="00EE77BC"/>
    <w:rsid w:val="00EF5F75"/>
    <w:rsid w:val="00F06F4A"/>
    <w:rsid w:val="00F15EEC"/>
    <w:rsid w:val="00F2116A"/>
    <w:rsid w:val="00F30F28"/>
    <w:rsid w:val="00F32A95"/>
    <w:rsid w:val="00F512C0"/>
    <w:rsid w:val="00F51E6F"/>
    <w:rsid w:val="00F54B37"/>
    <w:rsid w:val="00F5612F"/>
    <w:rsid w:val="00F6649F"/>
    <w:rsid w:val="00F671DF"/>
    <w:rsid w:val="00F70C42"/>
    <w:rsid w:val="00F72AC9"/>
    <w:rsid w:val="00F75E7F"/>
    <w:rsid w:val="00F7740E"/>
    <w:rsid w:val="00F77DED"/>
    <w:rsid w:val="00F803E0"/>
    <w:rsid w:val="00F80DA8"/>
    <w:rsid w:val="00F846C0"/>
    <w:rsid w:val="00F86E19"/>
    <w:rsid w:val="00F938DD"/>
    <w:rsid w:val="00F9496E"/>
    <w:rsid w:val="00FB2360"/>
    <w:rsid w:val="00FB23D9"/>
    <w:rsid w:val="00FC06BF"/>
    <w:rsid w:val="00FC2432"/>
    <w:rsid w:val="00FC7FBB"/>
    <w:rsid w:val="00FD58FF"/>
    <w:rsid w:val="00FF2C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20CC6C"/>
  <w14:defaultImageDpi w14:val="330"/>
  <w15:docId w15:val="{396BBBB9-F6FA-41C4-9BE9-B360A99C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941"/>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57601C"/>
    <w:pPr>
      <w:tabs>
        <w:tab w:val="center" w:pos="4252"/>
        <w:tab w:val="right" w:pos="8504"/>
      </w:tabs>
    </w:pPr>
    <w:rPr>
      <w:lang w:val="x-none" w:eastAsia="x-none"/>
    </w:rPr>
  </w:style>
  <w:style w:type="character" w:customStyle="1" w:styleId="CabealhoChar">
    <w:name w:val="Cabeçalho Char"/>
    <w:link w:val="Cabealho"/>
    <w:uiPriority w:val="99"/>
    <w:locked/>
    <w:rsid w:val="0068594F"/>
    <w:rPr>
      <w:sz w:val="24"/>
      <w:szCs w:val="24"/>
    </w:rPr>
  </w:style>
  <w:style w:type="paragraph" w:styleId="Rodap">
    <w:name w:val="footer"/>
    <w:basedOn w:val="Normal"/>
    <w:link w:val="RodapChar"/>
    <w:uiPriority w:val="99"/>
    <w:rsid w:val="0057601C"/>
    <w:pPr>
      <w:tabs>
        <w:tab w:val="center" w:pos="4252"/>
        <w:tab w:val="right" w:pos="8504"/>
      </w:tabs>
    </w:pPr>
    <w:rPr>
      <w:lang w:val="x-none" w:eastAsia="x-none"/>
    </w:rPr>
  </w:style>
  <w:style w:type="character" w:customStyle="1" w:styleId="RodapChar">
    <w:name w:val="Rodapé Char"/>
    <w:link w:val="Rodap"/>
    <w:uiPriority w:val="99"/>
    <w:locked/>
    <w:rsid w:val="00AE4865"/>
    <w:rPr>
      <w:sz w:val="24"/>
      <w:szCs w:val="24"/>
    </w:rPr>
  </w:style>
  <w:style w:type="character" w:styleId="Hyperlink">
    <w:name w:val="Hyperlink"/>
    <w:rsid w:val="0057601C"/>
    <w:rPr>
      <w:color w:val="0000FF"/>
      <w:u w:val="single"/>
    </w:rPr>
  </w:style>
  <w:style w:type="paragraph" w:styleId="Textodebalo">
    <w:name w:val="Balloon Text"/>
    <w:basedOn w:val="Normal"/>
    <w:link w:val="TextodebaloChar"/>
    <w:uiPriority w:val="99"/>
    <w:semiHidden/>
    <w:rsid w:val="0068594F"/>
    <w:rPr>
      <w:rFonts w:ascii="Tahoma" w:hAnsi="Tahoma"/>
      <w:sz w:val="16"/>
      <w:szCs w:val="16"/>
      <w:lang w:val="x-none" w:eastAsia="x-none"/>
    </w:rPr>
  </w:style>
  <w:style w:type="character" w:customStyle="1" w:styleId="TextodebaloChar">
    <w:name w:val="Texto de balão Char"/>
    <w:link w:val="Textodebalo"/>
    <w:uiPriority w:val="99"/>
    <w:locked/>
    <w:rsid w:val="0068594F"/>
    <w:rPr>
      <w:rFonts w:ascii="Tahoma" w:hAnsi="Tahoma" w:cs="Tahoma"/>
      <w:sz w:val="16"/>
      <w:szCs w:val="16"/>
    </w:rPr>
  </w:style>
  <w:style w:type="paragraph" w:customStyle="1" w:styleId="IDpaper-Title">
    <w:name w:val="IDpaper-Title"/>
    <w:basedOn w:val="Normal"/>
    <w:rsid w:val="006A00E2"/>
    <w:pPr>
      <w:widowControl w:val="0"/>
      <w:tabs>
        <w:tab w:val="left" w:pos="567"/>
      </w:tabs>
      <w:ind w:left="-397"/>
      <w:outlineLvl w:val="0"/>
    </w:pPr>
    <w:rPr>
      <w:rFonts w:ascii="Arial" w:hAnsi="Arial"/>
      <w:b/>
      <w:kern w:val="16"/>
      <w:szCs w:val="20"/>
      <w:lang w:val="en-GB" w:eastAsia="en-US"/>
    </w:rPr>
  </w:style>
  <w:style w:type="paragraph" w:customStyle="1" w:styleId="IDpaper-Autor">
    <w:name w:val="IDpaper- Autor"/>
    <w:basedOn w:val="IDpaper-Title"/>
    <w:rsid w:val="006A00E2"/>
    <w:pPr>
      <w:spacing w:after="240"/>
    </w:pPr>
    <w:rPr>
      <w:b w:val="0"/>
      <w:bCs/>
      <w:sz w:val="22"/>
      <w:lang w:val="pt-BR"/>
    </w:rPr>
  </w:style>
  <w:style w:type="paragraph" w:customStyle="1" w:styleId="IDpaper-Abstract">
    <w:name w:val="IDpaper-Abstract"/>
    <w:basedOn w:val="IDpaper-Text"/>
    <w:rsid w:val="006A00E2"/>
    <w:pPr>
      <w:spacing w:after="0"/>
    </w:pPr>
    <w:rPr>
      <w:i/>
      <w:iCs/>
      <w:sz w:val="18"/>
    </w:rPr>
  </w:style>
  <w:style w:type="paragraph" w:customStyle="1" w:styleId="IDpaper-Text">
    <w:name w:val="IDpaper-Text"/>
    <w:basedOn w:val="Normal"/>
    <w:rsid w:val="006A00E2"/>
    <w:pPr>
      <w:widowControl w:val="0"/>
      <w:tabs>
        <w:tab w:val="left" w:pos="284"/>
      </w:tabs>
      <w:spacing w:after="120"/>
    </w:pPr>
    <w:rPr>
      <w:rFonts w:ascii="Arial" w:hAnsi="Arial"/>
      <w:kern w:val="16"/>
      <w:sz w:val="20"/>
      <w:szCs w:val="20"/>
      <w:lang w:val="en-GB" w:eastAsia="en-US"/>
    </w:rPr>
  </w:style>
  <w:style w:type="paragraph" w:customStyle="1" w:styleId="IDpaper-heading1">
    <w:name w:val="IDpaper-heading1"/>
    <w:basedOn w:val="Normal"/>
    <w:rsid w:val="006A00E2"/>
    <w:pPr>
      <w:keepNext/>
      <w:widowControl w:val="0"/>
      <w:tabs>
        <w:tab w:val="left" w:pos="397"/>
      </w:tabs>
      <w:spacing w:before="480" w:after="120" w:line="360" w:lineRule="auto"/>
      <w:ind w:left="-397"/>
    </w:pPr>
    <w:rPr>
      <w:rFonts w:ascii="Arial" w:hAnsi="Arial"/>
      <w:b/>
      <w:kern w:val="16"/>
      <w:sz w:val="22"/>
      <w:szCs w:val="20"/>
      <w:lang w:val="en-GB" w:eastAsia="en-US"/>
    </w:rPr>
  </w:style>
  <w:style w:type="paragraph" w:customStyle="1" w:styleId="IDpaper-figureCaption">
    <w:name w:val="IDpaper-figureCaption"/>
    <w:basedOn w:val="Normal"/>
    <w:rsid w:val="006A00E2"/>
    <w:pPr>
      <w:widowControl w:val="0"/>
      <w:tabs>
        <w:tab w:val="left" w:pos="397"/>
      </w:tabs>
      <w:spacing w:before="360" w:after="120" w:line="360" w:lineRule="auto"/>
    </w:pPr>
    <w:rPr>
      <w:rFonts w:ascii="Arial" w:hAnsi="Arial"/>
      <w:kern w:val="16"/>
      <w:sz w:val="16"/>
      <w:szCs w:val="20"/>
      <w:lang w:val="en-GB" w:eastAsia="en-US"/>
    </w:rPr>
  </w:style>
  <w:style w:type="paragraph" w:customStyle="1" w:styleId="IDpaper-Tabletext">
    <w:name w:val="IDpaper-Table text"/>
    <w:basedOn w:val="Normal"/>
    <w:rsid w:val="006A00E2"/>
    <w:pPr>
      <w:widowControl w:val="0"/>
      <w:tabs>
        <w:tab w:val="left" w:pos="397"/>
      </w:tabs>
    </w:pPr>
    <w:rPr>
      <w:rFonts w:ascii="Arial" w:hAnsi="Arial"/>
      <w:kern w:val="18"/>
      <w:sz w:val="18"/>
      <w:szCs w:val="20"/>
      <w:lang w:val="en-GB" w:eastAsia="en-US"/>
    </w:rPr>
  </w:style>
  <w:style w:type="paragraph" w:customStyle="1" w:styleId="Idpaper-tableheading">
    <w:name w:val="Idpaper-table heading"/>
    <w:basedOn w:val="Normal"/>
    <w:rsid w:val="006A00E2"/>
    <w:rPr>
      <w:rFonts w:ascii="Arial" w:hAnsi="Arial"/>
      <w:sz w:val="18"/>
      <w:szCs w:val="20"/>
      <w:lang w:eastAsia="en-US"/>
    </w:rPr>
  </w:style>
  <w:style w:type="paragraph" w:customStyle="1" w:styleId="IDpaper-heading2">
    <w:name w:val="IDpaper-heading2"/>
    <w:basedOn w:val="IDpaper-Text"/>
    <w:rsid w:val="006A00E2"/>
    <w:pPr>
      <w:spacing w:before="240"/>
    </w:pPr>
    <w:rPr>
      <w:b/>
      <w:bCs/>
    </w:rPr>
  </w:style>
  <w:style w:type="paragraph" w:customStyle="1" w:styleId="IDpaper-Reference">
    <w:name w:val="IDpaper-Reference"/>
    <w:basedOn w:val="IDpaper-Text"/>
    <w:rsid w:val="006A00E2"/>
    <w:pPr>
      <w:ind w:left="284" w:hanging="284"/>
    </w:pPr>
  </w:style>
  <w:style w:type="paragraph" w:customStyle="1" w:styleId="IDpaper-heading3">
    <w:name w:val="IDpaper-heading3"/>
    <w:basedOn w:val="IDpaper-heading2"/>
    <w:next w:val="IDpaper-Text"/>
    <w:rsid w:val="006A00E2"/>
    <w:rPr>
      <w:b w:val="0"/>
      <w:bCs w:val="0"/>
      <w:i/>
      <w:iCs/>
    </w:rPr>
  </w:style>
  <w:style w:type="paragraph" w:customStyle="1" w:styleId="IDpaper-Quotation">
    <w:name w:val="IDpaper-Quotation"/>
    <w:basedOn w:val="IDpaper-Text"/>
    <w:rsid w:val="006A00E2"/>
    <w:pPr>
      <w:ind w:left="284"/>
    </w:pPr>
    <w:rPr>
      <w:sz w:val="18"/>
      <w:szCs w:val="18"/>
    </w:rPr>
  </w:style>
  <w:style w:type="paragraph" w:customStyle="1" w:styleId="IDpaper-Footnotetext">
    <w:name w:val="IDpaper-Footnote text"/>
    <w:basedOn w:val="Textodenotaderodap"/>
    <w:rsid w:val="006A00E2"/>
    <w:pPr>
      <w:ind w:left="284" w:hanging="284"/>
    </w:pPr>
    <w:rPr>
      <w:rFonts w:ascii="Arial" w:hAnsi="Arial"/>
      <w:kern w:val="16"/>
      <w:sz w:val="18"/>
      <w:lang w:eastAsia="en-US"/>
    </w:rPr>
  </w:style>
  <w:style w:type="paragraph" w:customStyle="1" w:styleId="IDpaper-TitleEnglish">
    <w:name w:val="IDpaper-TitleEnglish"/>
    <w:basedOn w:val="IDpaper-Title"/>
    <w:rsid w:val="006A00E2"/>
    <w:pPr>
      <w:spacing w:after="1200"/>
    </w:pPr>
    <w:rPr>
      <w:b w:val="0"/>
      <w:bCs/>
      <w:i/>
      <w:iCs/>
    </w:rPr>
  </w:style>
  <w:style w:type="paragraph" w:customStyle="1" w:styleId="IDpaper-Resumo">
    <w:name w:val="IDpaper-Resumo"/>
    <w:basedOn w:val="IDpaper-Abstract"/>
    <w:rsid w:val="006A00E2"/>
    <w:rPr>
      <w:i w:val="0"/>
      <w:iCs w:val="0"/>
      <w:lang w:val="pt-BR"/>
    </w:rPr>
  </w:style>
  <w:style w:type="paragraph" w:styleId="Textodenotadefim">
    <w:name w:val="endnote text"/>
    <w:basedOn w:val="Normal"/>
    <w:link w:val="TextodenotadefimChar"/>
    <w:rsid w:val="006A00E2"/>
    <w:rPr>
      <w:rFonts w:ascii="Arial" w:hAnsi="Arial"/>
      <w:sz w:val="16"/>
      <w:szCs w:val="20"/>
      <w:lang w:val="en-US" w:eastAsia="en-US"/>
    </w:rPr>
  </w:style>
  <w:style w:type="character" w:customStyle="1" w:styleId="TextodenotadefimChar">
    <w:name w:val="Texto de nota de fim Char"/>
    <w:link w:val="Textodenotadefim"/>
    <w:rsid w:val="006A00E2"/>
    <w:rPr>
      <w:rFonts w:ascii="Arial" w:hAnsi="Arial"/>
      <w:sz w:val="16"/>
      <w:lang w:val="en-US" w:eastAsia="en-US"/>
    </w:rPr>
  </w:style>
  <w:style w:type="character" w:styleId="Refdenotadefim">
    <w:name w:val="endnote reference"/>
    <w:rsid w:val="006A00E2"/>
    <w:rPr>
      <w:rFonts w:ascii="Arial" w:hAnsi="Arial"/>
      <w:sz w:val="22"/>
      <w:vertAlign w:val="superscript"/>
    </w:rPr>
  </w:style>
  <w:style w:type="paragraph" w:styleId="NormalWeb">
    <w:name w:val="Normal (Web)"/>
    <w:basedOn w:val="Normal"/>
    <w:uiPriority w:val="99"/>
    <w:rsid w:val="006A00E2"/>
    <w:pPr>
      <w:spacing w:before="100" w:beforeAutospacing="1" w:after="100" w:afterAutospacing="1"/>
    </w:pPr>
  </w:style>
  <w:style w:type="character" w:customStyle="1" w:styleId="notetext">
    <w:name w:val="note_text"/>
    <w:basedOn w:val="Fontepargpadro"/>
    <w:rsid w:val="006A00E2"/>
  </w:style>
  <w:style w:type="character" w:customStyle="1" w:styleId="hps">
    <w:name w:val="hps"/>
    <w:basedOn w:val="Fontepargpadro"/>
    <w:rsid w:val="006A00E2"/>
  </w:style>
  <w:style w:type="character" w:customStyle="1" w:styleId="shorttext">
    <w:name w:val="short_text"/>
    <w:basedOn w:val="Fontepargpadro"/>
    <w:rsid w:val="006A00E2"/>
  </w:style>
  <w:style w:type="paragraph" w:styleId="Textodenotaderodap">
    <w:name w:val="footnote text"/>
    <w:basedOn w:val="Normal"/>
    <w:link w:val="TextodenotaderodapChar"/>
    <w:uiPriority w:val="99"/>
    <w:semiHidden/>
    <w:unhideWhenUsed/>
    <w:rsid w:val="006A00E2"/>
    <w:rPr>
      <w:sz w:val="20"/>
      <w:szCs w:val="20"/>
    </w:rPr>
  </w:style>
  <w:style w:type="character" w:customStyle="1" w:styleId="TextodenotaderodapChar">
    <w:name w:val="Texto de nota de rodapé Char"/>
    <w:basedOn w:val="Fontepargpadro"/>
    <w:link w:val="Textodenotaderodap"/>
    <w:uiPriority w:val="99"/>
    <w:semiHidden/>
    <w:rsid w:val="006A00E2"/>
  </w:style>
  <w:style w:type="paragraph" w:styleId="PargrafodaLista">
    <w:name w:val="List Paragraph"/>
    <w:basedOn w:val="Normal"/>
    <w:uiPriority w:val="34"/>
    <w:qFormat/>
    <w:rsid w:val="00167CB2"/>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DD5885"/>
    <w:pPr>
      <w:autoSpaceDE w:val="0"/>
      <w:autoSpaceDN w:val="0"/>
      <w:adjustRightInd w:val="0"/>
    </w:pPr>
    <w:rPr>
      <w:rFonts w:ascii="Arial" w:eastAsia="Calibri" w:hAnsi="Arial" w:cs="Arial"/>
      <w:color w:val="000000"/>
      <w:sz w:val="24"/>
      <w:szCs w:val="24"/>
      <w:lang w:eastAsia="en-US"/>
    </w:rPr>
  </w:style>
  <w:style w:type="table" w:styleId="Tabelacomgrade">
    <w:name w:val="Table Grid"/>
    <w:basedOn w:val="Tabelanormal"/>
    <w:locked/>
    <w:rsid w:val="00F80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0A7328"/>
    <w:rPr>
      <w:sz w:val="24"/>
      <w:szCs w:val="24"/>
    </w:rPr>
  </w:style>
  <w:style w:type="character" w:styleId="Refdecomentrio">
    <w:name w:val="annotation reference"/>
    <w:basedOn w:val="Fontepargpadro"/>
    <w:uiPriority w:val="99"/>
    <w:semiHidden/>
    <w:unhideWhenUsed/>
    <w:rsid w:val="00227E28"/>
    <w:rPr>
      <w:sz w:val="16"/>
      <w:szCs w:val="16"/>
    </w:rPr>
  </w:style>
  <w:style w:type="paragraph" w:styleId="Textodecomentrio">
    <w:name w:val="annotation text"/>
    <w:basedOn w:val="Normal"/>
    <w:link w:val="TextodecomentrioChar"/>
    <w:uiPriority w:val="99"/>
    <w:unhideWhenUsed/>
    <w:rsid w:val="00227E28"/>
    <w:rPr>
      <w:sz w:val="20"/>
      <w:szCs w:val="20"/>
    </w:rPr>
  </w:style>
  <w:style w:type="character" w:customStyle="1" w:styleId="TextodecomentrioChar">
    <w:name w:val="Texto de comentário Char"/>
    <w:basedOn w:val="Fontepargpadro"/>
    <w:link w:val="Textodecomentrio"/>
    <w:uiPriority w:val="99"/>
    <w:rsid w:val="00227E28"/>
  </w:style>
  <w:style w:type="paragraph" w:styleId="Assuntodocomentrio">
    <w:name w:val="annotation subject"/>
    <w:basedOn w:val="Textodecomentrio"/>
    <w:next w:val="Textodecomentrio"/>
    <w:link w:val="AssuntodocomentrioChar"/>
    <w:uiPriority w:val="99"/>
    <w:semiHidden/>
    <w:unhideWhenUsed/>
    <w:rsid w:val="00227E28"/>
    <w:rPr>
      <w:b/>
      <w:bCs/>
    </w:rPr>
  </w:style>
  <w:style w:type="character" w:customStyle="1" w:styleId="AssuntodocomentrioChar">
    <w:name w:val="Assunto do comentário Char"/>
    <w:basedOn w:val="TextodecomentrioChar"/>
    <w:link w:val="Assuntodocomentrio"/>
    <w:uiPriority w:val="99"/>
    <w:semiHidden/>
    <w:rsid w:val="00227E28"/>
    <w:rPr>
      <w:b/>
      <w:bCs/>
    </w:rPr>
  </w:style>
  <w:style w:type="table" w:styleId="TabeladeGrade2">
    <w:name w:val="Grid Table 2"/>
    <w:basedOn w:val="Tabelanormal"/>
    <w:uiPriority w:val="47"/>
    <w:rsid w:val="006F593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66558">
      <w:bodyDiv w:val="1"/>
      <w:marLeft w:val="0"/>
      <w:marRight w:val="0"/>
      <w:marTop w:val="0"/>
      <w:marBottom w:val="0"/>
      <w:divBdr>
        <w:top w:val="none" w:sz="0" w:space="0" w:color="auto"/>
        <w:left w:val="none" w:sz="0" w:space="0" w:color="auto"/>
        <w:bottom w:val="none" w:sz="0" w:space="0" w:color="auto"/>
        <w:right w:val="none" w:sz="0" w:space="0" w:color="auto"/>
      </w:divBdr>
    </w:div>
    <w:div w:id="168060643">
      <w:bodyDiv w:val="1"/>
      <w:marLeft w:val="0"/>
      <w:marRight w:val="0"/>
      <w:marTop w:val="0"/>
      <w:marBottom w:val="0"/>
      <w:divBdr>
        <w:top w:val="none" w:sz="0" w:space="0" w:color="auto"/>
        <w:left w:val="none" w:sz="0" w:space="0" w:color="auto"/>
        <w:bottom w:val="none" w:sz="0" w:space="0" w:color="auto"/>
        <w:right w:val="none" w:sz="0" w:space="0" w:color="auto"/>
      </w:divBdr>
    </w:div>
    <w:div w:id="511604861">
      <w:bodyDiv w:val="1"/>
      <w:marLeft w:val="0"/>
      <w:marRight w:val="0"/>
      <w:marTop w:val="0"/>
      <w:marBottom w:val="0"/>
      <w:divBdr>
        <w:top w:val="none" w:sz="0" w:space="0" w:color="auto"/>
        <w:left w:val="none" w:sz="0" w:space="0" w:color="auto"/>
        <w:bottom w:val="none" w:sz="0" w:space="0" w:color="auto"/>
        <w:right w:val="none" w:sz="0" w:space="0" w:color="auto"/>
      </w:divBdr>
    </w:div>
    <w:div w:id="663974716">
      <w:bodyDiv w:val="1"/>
      <w:marLeft w:val="0"/>
      <w:marRight w:val="0"/>
      <w:marTop w:val="0"/>
      <w:marBottom w:val="0"/>
      <w:divBdr>
        <w:top w:val="none" w:sz="0" w:space="0" w:color="auto"/>
        <w:left w:val="none" w:sz="0" w:space="0" w:color="auto"/>
        <w:bottom w:val="none" w:sz="0" w:space="0" w:color="auto"/>
        <w:right w:val="none" w:sz="0" w:space="0" w:color="auto"/>
      </w:divBdr>
    </w:div>
    <w:div w:id="1005589798">
      <w:bodyDiv w:val="1"/>
      <w:marLeft w:val="0"/>
      <w:marRight w:val="0"/>
      <w:marTop w:val="0"/>
      <w:marBottom w:val="0"/>
      <w:divBdr>
        <w:top w:val="none" w:sz="0" w:space="0" w:color="auto"/>
        <w:left w:val="none" w:sz="0" w:space="0" w:color="auto"/>
        <w:bottom w:val="none" w:sz="0" w:space="0" w:color="auto"/>
        <w:right w:val="none" w:sz="0" w:space="0" w:color="auto"/>
      </w:divBdr>
    </w:div>
    <w:div w:id="1028406616">
      <w:bodyDiv w:val="1"/>
      <w:marLeft w:val="0"/>
      <w:marRight w:val="0"/>
      <w:marTop w:val="0"/>
      <w:marBottom w:val="0"/>
      <w:divBdr>
        <w:top w:val="none" w:sz="0" w:space="0" w:color="auto"/>
        <w:left w:val="none" w:sz="0" w:space="0" w:color="auto"/>
        <w:bottom w:val="none" w:sz="0" w:space="0" w:color="auto"/>
        <w:right w:val="none" w:sz="0" w:space="0" w:color="auto"/>
      </w:divBdr>
    </w:div>
    <w:div w:id="1125537868">
      <w:bodyDiv w:val="1"/>
      <w:marLeft w:val="0"/>
      <w:marRight w:val="0"/>
      <w:marTop w:val="0"/>
      <w:marBottom w:val="0"/>
      <w:divBdr>
        <w:top w:val="none" w:sz="0" w:space="0" w:color="auto"/>
        <w:left w:val="none" w:sz="0" w:space="0" w:color="auto"/>
        <w:bottom w:val="none" w:sz="0" w:space="0" w:color="auto"/>
        <w:right w:val="none" w:sz="0" w:space="0" w:color="auto"/>
      </w:divBdr>
    </w:div>
    <w:div w:id="1531525674">
      <w:bodyDiv w:val="1"/>
      <w:marLeft w:val="0"/>
      <w:marRight w:val="0"/>
      <w:marTop w:val="0"/>
      <w:marBottom w:val="0"/>
      <w:divBdr>
        <w:top w:val="none" w:sz="0" w:space="0" w:color="auto"/>
        <w:left w:val="none" w:sz="0" w:space="0" w:color="auto"/>
        <w:bottom w:val="none" w:sz="0" w:space="0" w:color="auto"/>
        <w:right w:val="none" w:sz="0" w:space="0" w:color="auto"/>
      </w:divBdr>
    </w:div>
    <w:div w:id="1575512692">
      <w:bodyDiv w:val="1"/>
      <w:marLeft w:val="0"/>
      <w:marRight w:val="0"/>
      <w:marTop w:val="0"/>
      <w:marBottom w:val="0"/>
      <w:divBdr>
        <w:top w:val="none" w:sz="0" w:space="0" w:color="auto"/>
        <w:left w:val="none" w:sz="0" w:space="0" w:color="auto"/>
        <w:bottom w:val="none" w:sz="0" w:space="0" w:color="auto"/>
        <w:right w:val="none" w:sz="0" w:space="0" w:color="auto"/>
      </w:divBdr>
    </w:div>
    <w:div w:id="1664818482">
      <w:bodyDiv w:val="1"/>
      <w:marLeft w:val="0"/>
      <w:marRight w:val="0"/>
      <w:marTop w:val="0"/>
      <w:marBottom w:val="0"/>
      <w:divBdr>
        <w:top w:val="none" w:sz="0" w:space="0" w:color="auto"/>
        <w:left w:val="none" w:sz="0" w:space="0" w:color="auto"/>
        <w:bottom w:val="none" w:sz="0" w:space="0" w:color="auto"/>
        <w:right w:val="none" w:sz="0" w:space="0" w:color="auto"/>
      </w:divBdr>
    </w:div>
    <w:div w:id="1703943789">
      <w:bodyDiv w:val="1"/>
      <w:marLeft w:val="0"/>
      <w:marRight w:val="0"/>
      <w:marTop w:val="0"/>
      <w:marBottom w:val="0"/>
      <w:divBdr>
        <w:top w:val="none" w:sz="0" w:space="0" w:color="auto"/>
        <w:left w:val="none" w:sz="0" w:space="0" w:color="auto"/>
        <w:bottom w:val="none" w:sz="0" w:space="0" w:color="auto"/>
        <w:right w:val="none" w:sz="0" w:space="0" w:color="auto"/>
      </w:divBdr>
    </w:div>
    <w:div w:id="1724324705">
      <w:bodyDiv w:val="1"/>
      <w:marLeft w:val="0"/>
      <w:marRight w:val="0"/>
      <w:marTop w:val="0"/>
      <w:marBottom w:val="0"/>
      <w:divBdr>
        <w:top w:val="none" w:sz="0" w:space="0" w:color="auto"/>
        <w:left w:val="none" w:sz="0" w:space="0" w:color="auto"/>
        <w:bottom w:val="none" w:sz="0" w:space="0" w:color="auto"/>
        <w:right w:val="none" w:sz="0" w:space="0" w:color="auto"/>
      </w:divBdr>
    </w:div>
    <w:div w:id="1742484542">
      <w:bodyDiv w:val="1"/>
      <w:marLeft w:val="0"/>
      <w:marRight w:val="0"/>
      <w:marTop w:val="0"/>
      <w:marBottom w:val="0"/>
      <w:divBdr>
        <w:top w:val="none" w:sz="0" w:space="0" w:color="auto"/>
        <w:left w:val="none" w:sz="0" w:space="0" w:color="auto"/>
        <w:bottom w:val="none" w:sz="0" w:space="0" w:color="auto"/>
        <w:right w:val="none" w:sz="0" w:space="0" w:color="auto"/>
      </w:divBdr>
    </w:div>
    <w:div w:id="1797675539">
      <w:marLeft w:val="0"/>
      <w:marRight w:val="0"/>
      <w:marTop w:val="0"/>
      <w:marBottom w:val="0"/>
      <w:divBdr>
        <w:top w:val="none" w:sz="0" w:space="0" w:color="auto"/>
        <w:left w:val="none" w:sz="0" w:space="0" w:color="auto"/>
        <w:bottom w:val="none" w:sz="0" w:space="0" w:color="auto"/>
        <w:right w:val="none" w:sz="0" w:space="0" w:color="auto"/>
      </w:divBdr>
    </w:div>
    <w:div w:id="206282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69E20-C4A0-4C4A-B18E-9798AC552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15</Pages>
  <Words>5905</Words>
  <Characters>31888</Characters>
  <Application>Microsoft Office Word</Application>
  <DocSecurity>0</DocSecurity>
  <Lines>265</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37718</CharactersWithSpaces>
  <SharedDoc>false</SharedDoc>
  <HLinks>
    <vt:vector size="24" baseType="variant">
      <vt:variant>
        <vt:i4>2359340</vt:i4>
      </vt:variant>
      <vt:variant>
        <vt:i4>9</vt:i4>
      </vt:variant>
      <vt:variant>
        <vt:i4>0</vt:i4>
      </vt:variant>
      <vt:variant>
        <vt:i4>5</vt:i4>
      </vt:variant>
      <vt:variant>
        <vt:lpwstr>http://www.abnt.org.br/</vt:lpwstr>
      </vt:variant>
      <vt:variant>
        <vt:lpwstr/>
      </vt:variant>
      <vt:variant>
        <vt:i4>2490484</vt:i4>
      </vt:variant>
      <vt:variant>
        <vt:i4>6</vt:i4>
      </vt:variant>
      <vt:variant>
        <vt:i4>0</vt:i4>
      </vt:variant>
      <vt:variant>
        <vt:i4>5</vt:i4>
      </vt:variant>
      <vt:variant>
        <vt:lpwstr>http://loja.ibge.gov.br/informacoes-gerais/normas/normas-de-apresentac-o-tabular-3-edic-o.html</vt:lpwstr>
      </vt:variant>
      <vt:variant>
        <vt:lpwstr/>
      </vt:variant>
      <vt:variant>
        <vt:i4>1179649</vt:i4>
      </vt:variant>
      <vt:variant>
        <vt:i4>3</vt:i4>
      </vt:variant>
      <vt:variant>
        <vt:i4>0</vt:i4>
      </vt:variant>
      <vt:variant>
        <vt:i4>5</vt:i4>
      </vt:variant>
      <vt:variant>
        <vt:lpwstr>http://www.ibge.gov.br/home/</vt:lpwstr>
      </vt:variant>
      <vt:variant>
        <vt:lpwstr/>
      </vt:variant>
      <vt:variant>
        <vt:i4>2490484</vt:i4>
      </vt:variant>
      <vt:variant>
        <vt:i4>0</vt:i4>
      </vt:variant>
      <vt:variant>
        <vt:i4>0</vt:i4>
      </vt:variant>
      <vt:variant>
        <vt:i4>5</vt:i4>
      </vt:variant>
      <vt:variant>
        <vt:lpwstr>http://loja.ibge.gov.br/informacoes-gerais/normas/normas-de-apresentac-o-tabular-3-edic-o.html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Sandra</cp:lastModifiedBy>
  <cp:revision>63</cp:revision>
  <cp:lastPrinted>2011-10-07T12:07:00Z</cp:lastPrinted>
  <dcterms:created xsi:type="dcterms:W3CDTF">2024-10-17T15:50:00Z</dcterms:created>
  <dcterms:modified xsi:type="dcterms:W3CDTF">2024-12-30T12:53:00Z</dcterms:modified>
</cp:coreProperties>
</file>